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“The Essence of Intercultural Educational Environment” Journal of Higher Education Theory and Practice, volume 22(15), 2022 – 203-214.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https://doi.org/10.33423/jhetp.v22i15.5571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https://articlegateway.com/index.php/JHETP/article/view/5571/5292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“PECULIARITIES OF PROFESSIONAL TRAINING OF FUTURE TEACHERS FOR INNOVATIVE EDUCATIONAL ACTIVITIES IN AN INTERCULTURAL ENVIRONMENT” Journal of Higher Education Theory and Practice, volume 23(20), 2023 – 65-75.</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https://doi.org/10.33423/jhetp.v23i20.6688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https://doi.org/10.33423/jhetp.v23i20.6688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“The Concept of Professional Training of Future Teachers of the Ukrainian Language and Literature for Innovative Activities in an Intercultural Educational Environment” Journal of Higher Education Theory and Practice, volume 23(5), 2023 – 175-186.</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https://doi.org/10.33423/jhetp.v23i5.5934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https://articlegateway.com/index.php/JHETP/article/view/5934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Ostrovska M., Ostrovski O., Margitych K. “Theoretical and methodological features of training future teachers for activities in an intercultural educational environment” Journal of Higher Education Theory and Practice, volume 23(13), 2023 – 45-54.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https://doi.org/10.33423/jhetp.v23i13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https://doi.org/10.33423/jhetp.v23i13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Marianna Ostrovska, Kateryna Margitych, Nadiia Bryzhak, Ihor Bopko, Marianna Bedevelska El uso de proyectos creativos para mejorar la motivación del aprendizaje en los estudiantes de primaria. Revista De La Universidad Del Zulia, volume 14(41), 2023 – 890-907.</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https://doi.org/10.46925//rdluz.41.49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https://produccioncientificaluz.org/index.php/rluz/article/view/40875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Marianna Ostrovska, Kateryna Margitych, Nadiia Bryzhak, Ihor Bopko, Marianna Bedevelska „The use of creative projects method by primary school teachers as a means of enhancing the learning motivation” Journal for Educators, Teachers and Trainers, volume 14(2), 2023 – 487-499.</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https://doi.org/10.47750/jett.2023.14.02.045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https://jett.labosfor.com/index.php/jett/article/view/1589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Ostrovsky, O. ., Ostrovska, M. ., &amp; Margitich, K. . (2024). Innovation and interculturalism are important features of future teachers’ training in modern society. Edelweiss Applied Science and Technology, 8(5), 914–921.</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https://doi.org/10.55214/25768484.v8i5.1793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https://learning-gate.com/index.php/2576-8484/article/view/1793/634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Sofiia Kozak, Marianna Ostrovska, Oleksandr Ostrovsky, Kateryna Margitych, Vasyl Siladi </w:t>
      </w:r>
      <w:r>
        <w:br/>
      </w:r>
      <w:r>
        <w:rPr>
          <w:rFonts w:ascii="Times New Roman" w:hAnsi="Times New Roman" w:cs="Times New Roman"/>
          <w:sz w:val="24"/>
          <w:szCs w:val="24"/>
          <w:lang w:val="hu-HU"/>
        </w:rPr>
        <w:t xml:space="preserve">The effectiveness of speech technologies in building students’ linguistic competence during practical classes. Revista EDaPECI - Educação a Distância e Práticas Educativas Comunicacionais e Interculturais,v. 25 n. 1 (2025)</w:t>
      </w:r>
      <w:r>
        <w:br/>
      </w:r>
      <w:r>
        <w:rPr>
          <w:rFonts w:ascii="Times New Roman" w:hAnsi="Times New Roman" w:cs="Times New Roman"/>
          <w:sz w:val="24"/>
          <w:szCs w:val="24"/>
          <w:lang w:val="hu-HU"/>
        </w:rPr>
        <w:t xml:space="preserve">https://doi.org/10.29276/redapeci.2025.25.121632.239-250</w:t>
      </w:r>
      <w:r>
        <w:br/>
      </w:r>
      <w:r>
        <w:rPr>
          <w:rFonts w:ascii="Times New Roman" w:hAnsi="Times New Roman" w:cs="Times New Roman"/>
          <w:sz w:val="24"/>
          <w:szCs w:val="24"/>
          <w:lang w:val="hu-HU"/>
        </w:rPr>
        <w:t xml:space="preserve">ISSN 2176-171Х</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https://doi.org/10.29276/redapeci.2025.25.121632.239-250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https://periodicos.ufs.br/edapeci/article/view/21632/16946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 Концепція двомовної школи для закарпатської місцевості з етнічно-мішаним складом населення. «Наука і техніка сьогодні» (Серія «Педагогіка», Серія «Право», Серія «Економіка», Серія «Фізико-математичні науки»)» № 7(7) 2022. С. 163-173.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https://doi.org/10.52058/2786-6025-2022-7(7)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http://perspectives.pp.ua/index.php/nts/article/view/2049/2049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 Є. Полікультурна компетентність майбутнього вчителя як стандарт освіти европейського виміру. «Перспективи та інновації науки (Серія «Педагогіка», Серія «Психологія», Серія «Медицина»)» № 8(13) 2022. С. 155-164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https://doi.org/10.52058/2786-4952-2022-8(13)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http://perspectives.pp.ua/index.php/pis/article/view/1984/1984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 Культура наукової мови як наукова проблема. Суспільство та національні інтереси № 1(1) 2024. С. 145-151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https://doi.org/10.52058/3041-1572-2024-1(1)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http://perspectives.pp.ua/index.php/sni/article/view/11081/11140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 Культура українського наукового мовлення у вимірі української науки “Суспільство та національні інтереси» спеціальності: 011 Освітні, педагогічні науки; 281 Публічне управління та адміністрування № 4(4) 2024. С. 474-485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https://doi.org/10.52058/3041-1572-2024-4(4)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http://perspectives.pp.ua/index.php/sni/article/view/13923/13989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К.Є.Теоретичне обґрунтування проблеми розвитку творчих здібностей учнів у процесі навчання української мови і літератури Суспільство та національні інтереси № 2(2) 2024. С. 145-153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https://doi.org/10.52058/3041-1572-2024-2(2)-145-153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http://perspectives.pp.ua/index.php/sni/article/view/11112/11171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Маргітич К.Є. ЗАСТОСУВАННЯ КОМУНІКАТИВНОЇ ПРОФЕСІОГРАМИ ФАХІВЦЯ ДО ПОБУДОВИ МОДЕЛІ ВЧИТЕЛЯ, ЗДАТНОГО ПРАЦЮВАТИ В СУЧАСНІЙ ШКОЛІ «Вісник науки та освіти» (Серія «Філологія», Серія «Соціологія», Серія «Педагогіка», Серія «Культура та мистецтво», Серія «Історія та археологія») Випуск № 7(37) (категорія Б). 8 серпня 2025 року, м. Київ – С. 623- 634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https://doi.org/10.52058/2786-6165-2025-7(37)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http://perspectives.pp.ua/index.php/vno/issue/view/382/484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Маргітич К.Є. МОВНА  КУЛЬТУРА УКРАЇНСЬКОЇ НАУКОВОЇ МОВИ ЯК АКТУАЛЬНА ПРОБЛЕМА СЬОГОДЕННЯ «Вісник науки та освіти» (Серія «Філологія», Серія «Соціологія», Серія «Педагогіка», Серія «Культура та мистецтво», Серія «Історія та археологія») Випуск № 8(38) (категорія Б). 7 вересня 2025 року, м. Київ – С. 488 - 497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http://perspectives.pp.ua/index.php/vno/issue/view/392/496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 Є. НАУКОВЕ «Я» СТУДЕНТА,  ЯК АВТОРА НАУКОВОГО ТВОРУ «Вісник науки та освіти (Серія «Філологія». 2025. № 2(32) 2025. С. 375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https://doi.org/10.52058/2786-6165-2025-2(32)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http://perspectives.pp.ua/index.php/vno/issue/view/331/431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 Є. Науковий стиль української мови з позиції способів комунікативної діяльності. «Перспективи та інновації науки (Серія «Педагогіка», Серія «Психологія», Серія «Медицина»)» № 1(47) 2025. С. 720-730</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https://doi.org/10.52058/2786-4952-2025-1(47)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http://perspectives.pp.ua/index.php/pis/article/view/18965/18983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 О., Маргітич К.Є. ПРАКТИЧНИЙ АСПЕКТ  КУЛЬТУРИ УКРАЇНСЬКОЇ НАУКОВОЇ МОВИ «Вісник науки та освіти» (Серія «Філологія», Серія «Соціологія», Серія «Педагогіка», Серія «Культура та мистецтво», Серія «Історія та археологія») Випуск № 7(37) (категорія Б). 8 серпня 2025 року, м. Київ – С. 635- 644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https://doi.org/10.52058/2786-6165-2025-7(37)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Маргітич К.Є.  ПРОФЕСІЙНА  МОВНОКОМУНІКАТИВНА КОМПЕТЕНЦІЯ СУЧАСНОГО НОВОЇ ШКОЛИ «Вісник науки та освіти» (Серія «Філологія», Серія «Соціологія», Серія «Педагогіка», Серія «Культура та мистецтво», Серія «Історія та археологія») Випуск № 8(38) (категорія Б). 7 вересня 2025 року, м. Київ – С. 479 - 488</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http://perspectives.pp.ua/index.php/vno/issue/view/382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Островська М.Я., Маргітич К.Є. ПУБЛІЧНИЙ ВИСТУП ЯК ВАЖЛИВИЙ ЗАСІБ ПЕРЕКОНАННЯ СПІКЕРА «Вісник науки та освіти» (Серія «Філологія», Серія «Соціологія», Серія «Педагогіка», Серія «Культура та мистецтво», Серія «Історія та археологія») Випуск № 9(39) (фахове видання). 9 жовтня 2025 року, м. Київ – С. 596- 607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https://doi.org/10.52058/2786-6165-2025-9(39)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http://perspectives.pp.ua/index.php/vno/issue/view/402/506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"Інноваційні методи навчання української мови в угорськомовній нацменшині  Закарпаття" ПСИХОЛОГІЧНИЙ І ПЕДАГОГІЧНИЙ ДИСКУРС: НАУКОВІ ЗАПИСКИ ВЧЕНИХ : збірник матеріалів конференції Міжнародної науково-практичної інтернет-конференції «Актуальні проблеми психології розвитку особистості», 2020 р. м. Київ.</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https://enpuirb.udu.edu.ua/server/api/core/bitstreams/ce41fd00-88f8-4cbb-b590-e4cd1208030a/content</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 Нові форми та методи проведення уроків з української мови в школах з угорською мовою навчання. PERSPECTIVES OF WORLD SCIENCE AND EDUCATION Abstracts of II International Scientific and Practical Conference Osaka, Japan 2019.С. 131-142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https://sci-conf.com.ua/wp-content/uploads/2020/06/PERSPECTIVES-OF-WORLD-SCIENCE-AND-EDUCATION_30-31.oct_.19.pdf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Полікультурна компетентність майбутнього вчителя як стандарт освіти Європейського виміру. The 9th international conference «Science and society» Accent Graphics Communication &amp;Publishing, Hamilton, Canada 2019 С. 403-411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http://perspectives.pp.ua/index.php/pis/article/view/1984/1984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Маргітич К.Є. Особливості методів навчання в Закарпатському угорському інституті імені Ф. Ракоці ІІ. EURASIAN SCIENTIFIC CONGRESS Abstracts of I International Scientific and Practical Conference Barcelona, Spain 2020 С.404-412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https://www.academia.edu/42859444/Eurasian_scientific_congress_27_28_01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Andreya Pevse, Margitych Katerina, Oleksandr Ostrovski. New forms and methods of conducting lessons in the ukrainian language in schools with hungarian as the language of instruction. Innovative Approaches to Ensuring the Quality of Education, Scientific Research and Technological Processes Series of monographs Faculty of Architecture, Civil Engineering and Applied Arts Katowice School of Technology Monograph 43 Publishing House of University of Technology, Katowice, 2021, С. 680-686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http://www.wydawnictwo.wst.pl/uploads/files/3ae54f97de8a1480cfb229660e616f25.pdf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Островська М. Я., Маргітич К.Є. КОМПЕТЕНТНІСНА СПРЯМОВАНІСТЬ ПІДГОТОВКИ МАЙБУТНІХ УЧИТЕЛІВ У КОНТЕКСТІ  РЕФОРМИ ПОЧАТКОВОЇ ШКОЛИ XV Міжнародна інтернет — конференція «SCIENCE AND TECHNOLOGY» 22-23 лютого 2021р. Німеччина, Берлін – С.155-163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https://el-conf.com.ua/wp-content/uploads/2021/03/%D0%9D%D1%96%D0%BC%D0%B5%D1%87%D1%87%D0%B8%D0%BD%D0%B0_%D1%81%D0%B0%D0%B9%D1%82.pdf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О.О. Островський, К.Є. Маргітич, М.Я. Островська Інноваційність міжкультурної освіти у фаховій підготовці майбутніх учителів української мови і літератури [навч.-мет. посіб.]. Закарпатський угорський інститут імені Ф. Ракоці, ІІ ТОВ «РІК-У», Берегово – Ужгород,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https://odnb.odessa.ua/vnn/book/14193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7"/>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Островський О.О., Маргітич К.Є. та Островська М.Я. Інноваційність міжкультурної освіти у фаховій підготовці майбутніх учителів української мови і літератури/ навчально-методичний посібник/Закарпатський угорський інститут імені Ф. Ракоці, ІІ ТОВ «РІК-У», Берегово – Ужгород,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https://odnb.odessa.ua/vnn/book/14193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Кірич М.Ю., Маргітич К.Є., Данилова Л.І. Методика навчання української мови  в 1-4 класах з навчанням угорською мовою закладів загальної середньої освіти на засадах компететнісного підходу. Львів. Видавництво «Світ» 2020.-160 с.</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https://lib.imzo.gov.ua/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