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Demetska, V., Kuzenko, H., Banias, N., Nad-Kolozhvari, E., &amp; Lizak, K. (2025). Psycholinguistic and Cognitive Dimensions of Poetic Translation. Forum for Linguistic Studies, 7(12), 1277–1289.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https://doi.org/10.30564/fls.v7i12.12345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https://journals.bilpubgroup.com/index.php/fls/article/view/12345/7463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Nagy-Kolozsvári, E., Lizák, K. (2024). Behind the Pages: The Institutional Role in Kids' Books. [Review of the book The Routledge Companion to Children's Literature and Culture by Nelson, C., Wesseling, E, and Wu, A. M-Y. (eds)]. Libri et Liberi, 13(2), 350-354.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https://doi.org/10.21066/carcl.libri</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https://www.librietliberi.org/?p=64#more-64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Levrints (Lőricz), M., Myshko, S. &amp; Lizák, K. (2021). Attributes of effective foreign language teachers: Insights from Ukraine. Advanced Education, 8(19), 33-41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https://doi.org/10.20535/2410-8286.235940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https://ae.fl.kpi.ua/article/view/235940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 P. Horenko, K. M. Lizak. HERMAN MELVILLE’S NOVEL "MOBY DICK" VS. FILM "AVATAR: THE WAY OF WATER": EVOLUTION OF ECOLOGICAL CONSCIOUSNESS. НАУКОВІ ЗАПИСКИ. Центральноукраїнський державний університет імені Володимира Винниченка. Серія: Філологічні науки. Випуск  3  (214), 2025. c.27-35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https://doi.org/10.32782/2522-4077-2025-214.1-3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https://journals.cusu.in.ua/index.php/philology/article/view/825/787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V. V., Banias N. Yu., Lizak K. M. HOW TO TEACH STUDENTS TO LEARN: MOTIVATION, CHALLENGES AND THEIR SOLUTION. Науковий часопис УДУ імені Михайла Драгоманова. Серія 5. Педагогічні науки: реалії та перспективи. Збірник наукових праць / М-во освіти і науки України, Укр. держ. ун-т імені Михайла Драгоманова. – Випуск 105. – Київ : Видавничий дім «Гельветика», 2025. – 144 с., c.18-22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https://doi.org/10.31392/UDU-nc.series5.2025.105.03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https://chasopys.ps.npu.kiev.ua/archive/105/5.pdf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Banias N.Yu., Lizak K.M., Nagy-Kolozsvári E.A., Impact of Oscar Wild's Literary Fairy Tales on the Moral Development of Students, «Наука і техніка сьогодні» (Серія «Педагогіка», Серія «Право», Серія «Економіка», Серія «Фізико-математичні науки», Серія «Техніка»)»: журнал.  2025. № 8(49) 2025, c. 416-428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http://perspectives.pp.ua/index.php/nts/issue/view/390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 Lizák, K., Nagy-Kolozsvári, E., Hovdi, A.: Reinterpreting R. Kipling's literary heritage: the poem "If" and its feminist parodies. Acta Academiae Beregsasiensis, Philologica 2025/1:152–169.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https://doi.org/10.58423/2786-6726/2025-1-152-169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https://aab-philologica.kmf.uz.ua/aabp/article/view/93/92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Bahus F., Nad-Kolozhvari, E., Lizák K.The Influence of Edgar Allan Poe's Literary Techniques on Modernist Litearture: Implications for Secondary School EFL Education. Вісник науки та освіти / Bulletin of Science and Education № 7(37) (2025): Вісник науки та освіти /Серія «Філологія» p.30-41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https://doi.org/10.52058/2786-6165-2025-7(37)-30-41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http://perspectives.pp.ua/index.php/vno/article/view/27185/27157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ІНТЕРАКТИВНІ МЕТОДИ НАВЧАННЯ У ЗМІШАНОМУ ФОРМАТІ ВИКЛАДАННЯ ІНОЗЕМНОЇ МОВИ. «Перспективи та інновації науки» (Серія «Педагогіка», Серія «Психологія», Серія «Медицина») Випуск № 9(55), Київ – 2025, c.160-170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https://doi.org/10.52058/2786-4952-2025-9(55)-160-170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http://perspectives.pp.ua/index.php/pis/issue/archive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Особливості перекладу термінології в науково-художніх текстах.  № 8(38) (2025): Вісник науки та освіти / Серія «Філологія», 2025. _с.173-187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http://perspectives.pp.ua/index.php/vno/article/view/28476/28441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Володимир Баняс, Наталія Баняс, Катерина Лізак. ПОРІВНЯЛЬНИЙ АНАЛІЗ СТРАТЕГІЙ ПЕРЕКЛАДУ МЕТАФОР У ПОЛІТИЧНОМУ ДИСКУРСІ. «Суспільство та національні інтереси» No 9 (17), Київ–2025, с.81-92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https://doi.org/10.52058/3041-1572-2025-9(17)-81-92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http://perspectives.pp.ua/index.php/sni/article/view/28405/28368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машинного перекладу в сучасній практиці перекладача. «Наука і техніка сьогодні» (Серія «Педагогіка», Серія «Право», Серія «Економіка», Серія «Фізико-математичні науки», Серія «Техніка»)»: журнал, № 8(49) 2025, c. 491-502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https://doi.org/10.52058/2786-6025-2025-8(49)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http://perspectives.pp.ua/index.php/nts/article/view/28294/28257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РОЛЬ ПРОЄКТНОЇ ДІЯЛЬНОСТІ У РОЗВИТКУ КОМУНІКАТИВНИХ НАВИЧОК НА ЗАНЯТТЯХ ІНОЗЕМНОЇ МОВИ.  ,«Актуальні питання у сучасній науці» (Серія «Педагогіка», Серія «Право», Серія Економіка», Серія «Державне управління», Серія «Техніка», Серія «Історія та археологія») ,Випуск №9(39) 2025, c1119-1130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https://doi.org/10.52058/2786-6300-2025-9(39)-1119-1129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http://perspectives.pp.ua/index.php/sn/article/view/29004/28963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Баняс В.В., Баняс Н.Ю., Лізак К.М ФОРМУВАННЯ МІЖКУЛЬТУРНОЇ КОМПЕТЕНТНОСТІ ЗДОБУВАЧІВ ОСВІТИ У ПРОЦЕСІ ВИВЧЕННЯ АНГЛІЙСЬКОЇ МОВИ, «Наукові інновації та передові технології» (Серія «Управління та адміністрування», Серія «Право», Серія «Економіка», Серія «Психологія», Серія «Педагогіка»), Випуск № 9(49) 2025,c. 1612-1623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http://perspectives.pp.ua/index.php/nauka/article/view/28867/28831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AN OUTLINE OF UKRAINIAN TRANSLATION ACTIVITY IN THE POST WAR PERIOD.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Developing writing skills of first-year English major students. 2024, Сучасні дослідження з іноземної філології, 2(26), 309–318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https://doi.org/10.32782/2617-3921.2024.26.309-318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THE DEVELOPMENT OF TRANSLATION STUDIES IN UKRAINE IN 2000-2024.  № 11(29) (2024): Вісник науки та освіти / Серія «Філологія»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Kateryna. UKRAINIAN LITERARY TRANSLATION DURING INDEPENDENCE IN THE ENGLISH-SPEAKING WORLD. Вісник науки та освіти ISSN 2786-6165 (ONLINE) №  12(30)2024 UDC 81`25:811.111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https://doi.org/10.52058/2786-6165-2024-12(30)-47-61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http://perspectives.pp.ua/index.php/vno/article/view/18381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В.Переклад у викладанні іноземних мов студентам немовних спеціальностей вищих навчальних закладів //Перспективи та інновації науки (Серія «Педагогіка», Серія «Психологія», Серія «Медицина») »).– 2024. – №(38). – С. 429-440. (видання індексується в Index Сореrnicus). Кат.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https://doi.org/10.52058/2786-4952-2024-4(38)-429-439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http://perspectives.pp.ua/index.php/pis/article/view/10715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Мишко А.В. Багатомовність у США, "Вісник науки та освіти (Серія "Філологія"): журнал. 2023.№11(17) 2023. с.255-265 https://archer.chnu.edu.ua/bitstream/handle/123456789/8578/11%2817%29%20%D0%92%D1%96%D1%81%D0%BD%D0%B8%D0%BA%20%282%29.pdf?sequence=1&amp;isAllowed=y</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https://doi.org/10.52058/2786-6165-2023-11(17)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https://archer.chnu.edu.ua/bitstream/handle/123456789/8578/11%2817%29%20%D0%92%D1%96%D1%81%D0%BD%D0%B8%D0%BA%20%282%29.pdf?sequence=1&amp;isAllowed=y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К.Б.,Фодор К.Й.,Лізак К М. Використання навчальних тренінгів у професійний підготовці майбутніх філологів. Молодь і ринок. Вид. Дрогобицький державий педагогічний університет ім. Івана Франка. Вип. № 8/216 (2023), с.44-48 http://mir.dspu.edu.ua/article/view/285380/283458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https://doi.org/10.24919/2308-4634.2023.285380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http://mir.dspu.edu.ua/article/view/285380/283458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Лізак К.М. , "Компоненти, критерії, показники та рівні соціокультурної компетентності майбутніх бакалаврів іноземної мови". Науковий часопис національного педагогічного університету імені М. П. Драгоманова. Серія 5. «Педагогічні науки: реалії та перспективи». 2020 (Категорія Б)  – Вип 73. – Том 2. с.104-107.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https://doi.org/10.31392/NPU-nc.series5.2020.73-2.24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http://chasopys.ps.npu.kiev.ua/nc-73-2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Lizák, K. Prospective English language and culture teachers’ professional and methodical training at the bachelor and master levels at a higher education institution in Transcarpathia. Іноземні мови: науково-методичний журнал. 2021.№1(105).Київ, ТОВ«Видавництво «Ліра-К».  с. 58-67.  https://dspace.kmf.uz.ua/jspui/bitstream/123456789/1091/1/Huszti_I_Nagy_Kolozsvari_E_Lizak_K_Prospective_English_language_and_culture_2021.pdf https://www.academia.edu/81395206/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https://doi.org/10.32589/1817-8510.2021.1.230771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https://dspace.kmf.uz.ua/jspui/bitstream/123456789/1091/1/Huszti_I_Nagy_Kolozsvari_E_Lizak_K_Prospective_English_language_and_culture_2021.pdf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Мишко С.А. Особливості перекладу реалій з англійської на українську, угорську та російські мови.//Сучасні дослідження з іноземної філології. Збірник наукових праць. Випуск 18./ Гол. Ред. Фабіан М.П. – Ужгород : ТОВ «Поліграфцентр «Ліра», 2020.– С.101- 111. ISSN 2617-3921  DOI: 10.24144/2617-3921.2020.18.101-111 (фахове видання) file:///C:/Users/fh/Downloads/213942-%D0%A2%D0%B5%D0%BA%D1%81%D1%82%20%D1%81%D1%82%D0%B0%D1%82%D1%82%D1%96-482533-1-10-20201012.pdf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10.24144/2617-3921.2020.18.101-111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http://philol-zbirnyk.uzhnu.uz.ua/index.php/philol/article/view/136/332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Гнатик К.Б., Лізак К.М. Педагогічні умови і структурно-функціональна модель формування професійної ідентичності майбутніх бакалаврів іноземної мови. Науковий вісник  Мукачівського державного університету Серія «Педагогіка та психологія». Випуск 1(11) – 2020 c.60-63/289  http://dspace-s.msu.edu.ua:8080/handle/123456789/6979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DOI10.31339/2413-3329-2020-1(11)-60-63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http://dspace-s.msu.edu.ua:8080/handle/123456789/6979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Фодор К.Й., Гнатик К.Б.,  Лізак К М. Розвиток навичок письма англійською мовою у студентів немовних спеціальностей. Інновацйна педагогіка. Вид. «Гельветика» 2023. Випуск 61Том2 ст.139-142  http://www.innovpedagogy.od.ua/archives/2023/61/part_2/27.pdf?fbclid=IwAR1NC4W4w-xQtH_5D8BWU6Da6T9gqmIvHEpi-h0puirMizCY6sINL1nYtEQ</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https://doi.org/10.32782/2663-6085/2023/61.2.27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http://www.innovpedagogy.od.ua/archives/2023/61/part_2/27.pdf?fbclid=IwAR1NC4W4w-xQtH_5D8BWU6Da6T9gqmIvHEpi-h0puirMizCY6sINL1nYtEQ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Мишко С.А., Лізак К.М.  Розвиток українсько-угорських дипломатичних відносину кінці ХХ століття.  Геополітика України: Історія і сучасність.Збірник наукових праць. Випуск 1 (24). Гол.ред.кол. Черленяк І.І. – Ужгород: ДВНЗ «УЖНУ», 2020 – 83-91с.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10.24144/2078-1431.2020.1(24).83-91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https://dspace.kmf.uz.ua/jspui/bitstream/123456789/151/3/Svitlana_M_Lizak_K_Rozvytok_ukrainsko_uhorskykh_dyplomatychnykh_vidnosyn_2020.pdf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On the translation of education terminology. 2017, Сучасні дослідження з іноземної філології. Збірник наукових праць. Випуск 15./ – Ужгород : ПП «Аутдор Шарк», 2017.– С.82-88.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https://www.academia.edu/126046962/On_the_translation_of_education_terminology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K.M. POLITICALLY CORRECT LANGUAGE IN MODERN BRITISH PRESS.Сучасні дослідження з іноземної філології. Збірник наукових праць.  Випуск 13. Відп. ред. Фабіан М.П. - Ужгород: ПП “Аутдор-Шарк”, 2015. – 369 c.</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https://www.academia.edu/126047121/Lizak_K_Politically_Correct_Language_in_Modern_British_Press_2015_1_</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Unlocking Potential: A SWOT analysis of children's literature in EFL education in Transcarpathian schools.     XІІІ НАУКОВА КОНФЕРЕНЦІЯ  «НАУКОВІ ПІДСУМКИ 2024 РОКУ». ЗБІРКА НАУКОВИХ ТЕЗ. – ХАРКІВ, Х.: ТЕХНОЛОГІЧНИЙ ЦЕНТР, 2024 Харків, p.21  –87 С. е-ISBN 978-617-8360-11-5, p.21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https://entc.com.ua › download › pidsumki_2024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Folk music in teaching foreign languages //China to Adriatic 16th International Congress on Scientific Research, July 12-14, 2024/ Bittis, Türkije, p.249 https://mail.google.com/mail/u/0/#inbox/FMfcgzQVxttZFrpSVFbQsJrdmJMTKwxG?projector=1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https://mail.google.com/mail/u/0/#inbox/FMfcgzQVxttZFrpSVFbQsJrdmJMTKwxG?projector=1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Svitlana Myshko, Katalyn Lizák, Anatolii Myshko. Certain Issues in Foreign Language Acquisition// INTERNATIONAL HALICH CONGRESS ON MULTIDISCIPLINARY SCIENTIFIC RESEARCH-VII  January 23-25, 2024 / Istanbul p.528 https://mail.google.com/mail/u/0/#inbox/FMfcgzGxRfHGrhWFjQBCljSqhwXmZsnB?projector=1&amp;messagePartId=0.2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https://mail.google.com/mail/u/0/#inbox/FMfcgzGxRfHGrhWFjQBCljSqhwXmZsnB?projector=1&amp;messagePartId=0.2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Nagy-Kolozsvári, E. Az  angol, mint idegen nyelv tanitása során felmerülő kihivások és lehetséges megoldásai. Krizishelyzetek hatása és kihivásai az oktatásban                        Nemzetközi tudományos konferencia Beregszász, 2023. március 30-31, p.230-231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https://dspace.kmf.uz.ua/jspui/handle/123456789/3665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Месарош Л. В.,  Л.ізак К.М.- Pозвиток логічного та критичного мислення студентів. Modern scientific research: achievements, innovations and development prospects- Proceedings of VIII International Scientific and Practical Conference. Berlin, Germany. 23-25 January 2022.  401-405 https://sci-conf.com.ua/viii-mezhdunarodnaya-nauchno-prakticheskaya-konferentsiya-modern-scientific-research-achievements-innovations-and-development-prospects-23-25-yanvarya-2022-goda-berlin-germaniya-arhiv/</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https://sci-conf.com.ua/viii-mezhdunarodnaya-nauchno-prakticheskaya-konferentsiya-modern-scientific-research-achievements-innovations-and-development-prospects-23-25-yanvarya-2022-goda-berlin-germaniya-arhiv/</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Особливості перекладу англійської освітньої термінології українською та угорською мовами // Perspectives of world science and education. Abstracts of the 3rd International scientific and practical conference.  Тези доповіді на міжнародній конференції. CPN Publishing Group. Osaka, Japan. 2019. Pp. -670-678.   https://sci-conf.com.ua/wp-content/uploads/2019/11/perspectives-of-world-science-and-education_27-29.11.19.pdf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https://sci-conf.com.ua/wp-content/uploads/2019/11/perspectives-of-world-science-and-education_27-29.11.19.pdf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 https://lnma.edu.ua/wp-content/uploads/2019/01/zbirka-konf-teoria-muzyky-2021.pdf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Lizak K.  A beszedkeszseg fejlesztes feladatairol, kudarcainak okairól és sikereinek titkairól.   2004, PoliPrint, Ungvár</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https://www.academia.edu/126047734/Lizak_K_A_beszedkeszseg_fejlesztes_feladatairol_kudarcainak_okair%C3%B3l_%C3%A9s_sikereinek_titkair%C3%B3l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Говді А., Лізак К. THE REPRODUCTION OF MORPHOLOGICAL, SYNTACTIC,  LEXICAL AND SEMANTIC FEATURES  OF THE POEM “I KEEP SIX HONEST SERVING MEN” BY RUDYARD KIPLING  IN UKRAINIAN TRANSLATIONS. Студентський науковий журнал Universum №10/2024 p.94-100 Вінниця, Україна «UKRLOGOS Group»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10.36074/universum.10.2024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https://archive.liga.science/index.php/universum/article/view/1174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Lizák K., Hnatik K.,Huszti I.,Nagy-Kolozsvári E.,Fodor K. (2024). Розвиток навичок письма/Iráskészség fejlesztése.Oktatási segédlet. Посібник. Видавничий відділ Закарпатського угорського інституту ім.Ф.Ракоці ІІ. 2024, - C.119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https://kmf.uz.ua/wp-content/uploads/2024/03/lizak-et-al_oktatasi-segedlet_iraskaszseg-fejlesztese.pdf?fbclid=IwAR113QMHi945RWK3IO-Xx2WOHll5wMVaXdRIHfhwbzeMLbC1G4sAjtvAHiM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 Вовканич І.І., Мишко С.А., Андрейко В.І., Лізак К.M., Мишко А.В.,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British Literary Gems: Essential Poems for Students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https://kmf.uz.ua/?dl=374500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ВІД ПОЧАТКІВ ДО ДРУГОЇ ПОЛОВИНИ 19 СТОЛІТТЯ »(ПОСІБНИК) (для студентів 4-го курсу спеціальності «014 Середня освіта (Мова і література англійська)), Закарпатський угорський інститут імені Ференца Ракоці II ,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АМЕРИКАНСЬКА ЛІТЕРАТУРА ДРУГОЇ ПОЛОВИНИ 19 СТОЛІТТЯ » (ПОСІБНИК) (для студентів 4-го курсу спеціальності «014 Середня освіта (Мова і література англійська)), Видавництво: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https://kmf.uz.ua/wp-content/uploads/2023/09/jegyzet_amerikai_irod2.pdf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 ЛІТЕРАТУРА ВЕЛИКОЇ БРИТАНІЇ » (ПОСІБНИК)  (для студентів 3-го курсу спеціальності 014 Середня освіта (мова і література (англійська)), Закарпатський угорський інститут імені Ференца Ракоці II,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Леврінц, М., Лізак К., Врабель Т.   Програма вступного випробування з англійської мови для вступників на ІІ-й курс навчання за спеціальністю 014 середня освіта (мова і література англійська) за освітнім ступенем «бакалавр». Берегове: Закарпатський угорський інститут ім. Ференца Ракоці ІІ., 2022 https://kmf.uz.ua/wp-content/uploads/2023/06/programa-vstupnogo-viprobuvannja-z-anglijskoi-movi-na-2-kurs.pdf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https://kmf.uz.ua/wp-content/uploads/2023/06/programa-vstupnogo-viprobuvannja-z-anglijskoi-movi-na-2-kurs.pdf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Nagy-Kolozsvári E., Lizák K.  Британська та американська література /  Курс 2-4. A Guide to English Literary Genres and Literary Periods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.Лізак К.М. (у співавторстві Густі І., Леврінц М.) Методичні рекомендації до написання курсових, бакалаврськихта магістерських робіт. Видавничий відділ Закарпатського угорського інституту ім.Ф.Ракоці ІІ. 2020, - C.75   УДК(ETO):1.378.147(076):811.111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19th Century. Part 2. Literature for year 4 students majoring in English. Ferenc Rákóczi II Transcarpathian Hungarian College of Higher Education, Berehove. 124pp.  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Андрейко В.І., Мишко А.В., Лізак К.M. Підручник з англійської мови за професійним спрямуванням для студентів спеціальностей «Історія та археологія» та «Міжнародні відносини, суспільні комунікації та регіональні студії». – Ужгород: 2022. – с. 731 УДК 811. 111: 81′ 1: 913 (410): 913 (411)b ББК: 81.2 Англ + 81 + 26.89 (4 Вел – 4 Вел 1) М 71  https://dspace.uzhnu.edu.ua/jspui/handle/lib/46034?mode=full</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https://dspace.uzhnu.edu.ua/jspui/handle/lib/46034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Enikő Nagy-Kolozsvári, Katalin Lizák, Ilona Huszti. A guide to English literary genres and literary periods. Ferenc Rákóczi II Transcarpathian Hungarian College of Higher Education, 2021. – 82ps</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https://kmf.uz.ua/wp-content/uploads/2023/05/nagy-kolozsvari_lizak_huszti_literature_2021-1.pdf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3.Huszti, I., Lizák, K., Levrints (Lőrincz), M. (2020). Guidelines for course paper and thesis writing. Берегове: Закарпатський угорський інститут ім. Ференца Ракоці https://kmf.uz.ua/wp-content/uploads/2023/05/huszti_lizak_lorincz_guidelines_2020.pdf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https://kmf.uz.ua/wp-content/uploads/2023/05/huszti_lizak_lorincz_guidelines_2020.pdf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Вовканич І.І., Мишко С.А., Мишко А.В., Лізак К.М. Підручник з англійської мови для студентів факультетів історії та міжнародних відносин. – Ужгогрод: Гражда, 2020. – 412 с. УДК 811.111.81’1:913 (410):913(411) ББК: 81.2 Англ.+81+26.89 (4 Вел. – 4 Вел.1) М71 https://dspace.kmf.uz.ua/jspui/handle/123456789/2695</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American Literature from the Beginnings to the 19th Century.  Literature for year 4 students majoring in English. Ferenc Rákóczi II Transcarpathian Hungarian College of Higher Education, Berehove. 137pp.  https://kmf.uz.ua/wp-content/uploads/2023/09/amerikai_irodalom_jegyzet_revised.pdf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https://kmf.uz.ua/wp-content/uploads/2023/09/amerikai_irodalom_jegyzet_revised.pdf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Nagy-Kolozsvári E., Lizák K. (2023). History of British Drama. Literature for year 2 students majoring in English. Ferenc Rákóczi II Transcarpathian Hungarian College of Higher Education, Berehove. 127pp.  https://kmf.uz.ua/wp-content/uploads/2023/09/history_of_british_drama-1.pdf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https://kmf.uz.ua/wp-content/uploads/2023/09/history_of_british_drama-1.pdf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 М., Мишко С. А Music and dance as effective tools in foreign language learning. Збірник матеріалів VI Міжнародної науково-методичної конференції:«Актуальні питання викладання музично-теоретичних та музично-історичних дисциплін» 20 лютого 2021 р. – Львів: ЛНМА імені М.В.Лисенка, 2021. – с.101-103  https://lnma.edu.ua/wp-content/uploads/2019/01/zbirka-konf-teoria-muzyky-2021.pdf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https://lnma.edu.ua/wp-content/uploads/2019/01/zbirka-konf-teoria-muzyky-2021.pdf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Лізак К.,Гатик К.,Густі І., Надь-Коложварі Е., Фодор К. (2024). Розвиток навичок письма: Посібник для студентів 1-го курсу спеціальності "Середня освіта (Мова та зарубіжа література (англійська))"  Iráskészség fejlesztése. Oktatási ségedlét. Берегове: Закарпатський угорський інститут ім.Ференца Ракоці ІІ., 121 с. https://kmf.uz.ua/wp-content/uploads/2024/03/lizak-et-al_oktatasi-segedlet_iraskaszseg-fejlesztese.pdf</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https://kmf.uz.ua/wp-content/uploads/2024/03/lizak-et-al_oktatasi-segedlet_iraskaszseg-fejlesztese.pdf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