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733A0">
      <w:pPr>
        <w:tabs>
          <w:tab w:val="left" w:pos="3600"/>
          <w:tab w:val="left" w:pos="740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PÁLYÁZATI KIÍRÁS</w:t>
      </w:r>
    </w:p>
    <w:p w:rsidR="00000000" w:rsidRDefault="008733A0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267" w:lineRule="auto"/>
        <w:ind w:hanging="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Az Emberi Erőforrások Minisztériuma és az Eötvös Loránd Tudományegyetem pályázatot hirdet </w:t>
      </w:r>
      <w:r>
        <w:rPr>
          <w:rFonts w:ascii="Times New Roman" w:eastAsia="Times New Roman" w:hAnsi="Times New Roman"/>
          <w:b/>
          <w:i/>
          <w:sz w:val="22"/>
        </w:rPr>
        <w:t xml:space="preserve">fiatal határon túli magyar oktatói ösztöndíjra </w:t>
      </w:r>
      <w:r>
        <w:rPr>
          <w:rFonts w:ascii="Times New Roman" w:eastAsia="Times New Roman" w:hAnsi="Times New Roman"/>
          <w:b/>
          <w:sz w:val="22"/>
        </w:rPr>
        <w:t>a 2</w:t>
      </w:r>
      <w:r>
        <w:rPr>
          <w:rFonts w:ascii="Times New Roman" w:eastAsia="Times New Roman" w:hAnsi="Times New Roman"/>
          <w:b/>
          <w:sz w:val="22"/>
        </w:rPr>
        <w:t>018/2019-e</w:t>
      </w:r>
      <w:r>
        <w:rPr>
          <w:rFonts w:ascii="Times New Roman" w:eastAsia="Times New Roman" w:hAnsi="Times New Roman"/>
          <w:b/>
          <w:sz w:val="22"/>
        </w:rPr>
        <w:t>s tanévben a szülőföldi felsőoktatási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intézmények valamelyikében oktatói tevékenységet folytató </w:t>
      </w:r>
      <w:r>
        <w:rPr>
          <w:rFonts w:ascii="Times New Roman" w:eastAsia="Times New Roman" w:hAnsi="Times New Roman"/>
          <w:b/>
          <w:i/>
          <w:sz w:val="22"/>
        </w:rPr>
        <w:t>román vagy szerb vagy szlovák vagy ukrán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állampolgárságú, magyar nemzetiségű személyek számára.</w:t>
      </w:r>
    </w:p>
    <w:p w:rsidR="00000000" w:rsidRDefault="008733A0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264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pályázati kiírás tartalmát az Emberi Erőforrás Mini</w:t>
      </w:r>
      <w:r>
        <w:rPr>
          <w:rFonts w:ascii="Times New Roman" w:eastAsia="Times New Roman" w:hAnsi="Times New Roman"/>
          <w:sz w:val="22"/>
        </w:rPr>
        <w:t>sztérium</w:t>
      </w:r>
      <w:r>
        <w:rPr>
          <w:rFonts w:ascii="Times New Roman" w:eastAsia="Times New Roman" w:hAnsi="Times New Roman"/>
          <w:sz w:val="22"/>
        </w:rPr>
        <w:t>a (a továbbiakban: EMMI) az Eötvös Loránd</w:t>
      </w:r>
      <w:r>
        <w:rPr>
          <w:rFonts w:ascii="Times New Roman" w:eastAsia="Times New Roman" w:hAnsi="Times New Roman"/>
          <w:sz w:val="22"/>
        </w:rPr>
        <w:t xml:space="preserve"> Tudományegyetemmel (a továbbiakban: ELTE) együttműködve dolgozta ki, a pályázatot a Kolozsvári </w:t>
      </w:r>
      <w:r>
        <w:rPr>
          <w:rFonts w:ascii="Times New Roman" w:eastAsia="Times New Roman" w:hAnsi="Times New Roman"/>
          <w:sz w:val="22"/>
        </w:rPr>
        <w:t>Magyar Egyetemi Intézet, a Szövetség a Közös Célokért révkomáromi irodája, a Szabadkai CMH Iroda, a Beregszászi</w:t>
      </w:r>
      <w:r>
        <w:rPr>
          <w:rFonts w:ascii="Times New Roman" w:eastAsia="Times New Roman" w:hAnsi="Times New Roman"/>
          <w:sz w:val="22"/>
        </w:rPr>
        <w:t xml:space="preserve"> Agora I</w:t>
      </w:r>
      <w:r>
        <w:rPr>
          <w:rFonts w:ascii="Times New Roman" w:eastAsia="Times New Roman" w:hAnsi="Times New Roman"/>
          <w:sz w:val="22"/>
        </w:rPr>
        <w:t>nformációs Központ és az ELTE lebonyolítói közreműködésével hirdeti meg.</w:t>
      </w:r>
    </w:p>
    <w:p w:rsidR="00000000" w:rsidRDefault="008733A0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Általános tudnivalók:</w:t>
      </w:r>
    </w:p>
    <w:p w:rsidR="00000000" w:rsidRDefault="008733A0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numPr>
          <w:ilvl w:val="0"/>
          <w:numId w:val="1"/>
        </w:numPr>
        <w:tabs>
          <w:tab w:val="left" w:pos="380"/>
        </w:tabs>
        <w:spacing w:line="194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EMMI és az ELTE az ösztöndíjjal a határon túli magyar felsőoktatási intézményekben oktató és kutató fiatal, később tudományos fokozattal rendelkező </w:t>
      </w:r>
      <w:r>
        <w:rPr>
          <w:rFonts w:ascii="Times New Roman" w:eastAsia="Times New Roman" w:hAnsi="Times New Roman"/>
          <w:sz w:val="22"/>
        </w:rPr>
        <w:t>ún. minősített oktatók számának növelését célozza, így segítve a határon túli magyar nyelvű felsőoktatás minőségi fejlesztését.</w:t>
      </w:r>
    </w:p>
    <w:p w:rsidR="00000000" w:rsidRDefault="008733A0">
      <w:pPr>
        <w:spacing w:line="55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1"/>
        </w:numPr>
        <w:tabs>
          <w:tab w:val="left" w:pos="380"/>
        </w:tabs>
        <w:spacing w:line="219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pályázat az államháztartásról szóló törvény végrehajtásáról szóló 368/2011. (XII.31.) Korm. rendeletben (a továbbiakban Ávr.)</w:t>
      </w:r>
      <w:r>
        <w:rPr>
          <w:rFonts w:ascii="Times New Roman" w:eastAsia="Times New Roman" w:hAnsi="Times New Roman"/>
          <w:sz w:val="22"/>
        </w:rPr>
        <w:t xml:space="preserve"> és a határon túli költségvetési támogatások sajátos szabályairól szóló 98/2012. (V. 15.) Korm. rendeletben foglaltak alapján került kiírásra. A fenti jogszabályoknak, valamint Magyarország egyéb vonatkozó jogszabályainak a rendelkezései a pályázati eljárá</w:t>
      </w:r>
      <w:r>
        <w:rPr>
          <w:rFonts w:ascii="Times New Roman" w:eastAsia="Times New Roman" w:hAnsi="Times New Roman"/>
          <w:sz w:val="22"/>
        </w:rPr>
        <w:t>s valamennyi szakaszában alkalmazandók.</w:t>
      </w:r>
    </w:p>
    <w:p w:rsidR="00000000" w:rsidRDefault="008733A0">
      <w:pPr>
        <w:spacing w:line="2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1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 pályázaton elnyerhető ösztöndíj nem visszatérítendő költségvetési támogatás.</w:t>
      </w:r>
    </w:p>
    <w:p w:rsidR="00000000" w:rsidRDefault="008733A0">
      <w:pPr>
        <w:spacing w:line="6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0"/>
          <w:numId w:val="1"/>
        </w:numPr>
        <w:tabs>
          <w:tab w:val="left" w:pos="380"/>
        </w:tabs>
        <w:spacing w:line="193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pályázathoz rendelkezésre álló pénzügyi forrás Magyarország 2018</w:t>
      </w:r>
      <w:r>
        <w:rPr>
          <w:rFonts w:ascii="Times New Roman" w:eastAsia="Times New Roman" w:hAnsi="Times New Roman"/>
          <w:sz w:val="22"/>
        </w:rPr>
        <w:t>. évi központi költségvetéséről</w:t>
      </w:r>
      <w:r>
        <w:rPr>
          <w:rFonts w:ascii="Times New Roman" w:eastAsia="Times New Roman" w:hAnsi="Times New Roman"/>
          <w:sz w:val="22"/>
        </w:rPr>
        <w:t xml:space="preserve"> szóló 2017. évi C. törvény 1. mellékl</w:t>
      </w:r>
      <w:r>
        <w:rPr>
          <w:rFonts w:ascii="Times New Roman" w:eastAsia="Times New Roman" w:hAnsi="Times New Roman"/>
          <w:sz w:val="22"/>
        </w:rPr>
        <w:t xml:space="preserve">ete, </w:t>
      </w:r>
      <w:r>
        <w:rPr>
          <w:rFonts w:ascii="Times New Roman" w:eastAsia="Times New Roman" w:hAnsi="Times New Roman"/>
          <w:sz w:val="22"/>
        </w:rPr>
        <w:t>XX. Emberi Erőforrások Minisztériuma fejezet, 20/5/18/1.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„Határon túli felsőoktatási feladatok támogatása</w:t>
      </w:r>
      <w:r>
        <w:rPr>
          <w:rFonts w:ascii="Times New Roman" w:eastAsia="Times New Roman" w:hAnsi="Times New Roman"/>
          <w:sz w:val="22"/>
        </w:rPr>
        <w:t>”, nem feladatfinanszírozási körbe tartozó előirányzat</w:t>
      </w:r>
    </w:p>
    <w:p w:rsidR="00000000" w:rsidRDefault="008733A0">
      <w:pPr>
        <w:spacing w:line="42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spacing w:line="255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(Áht azonosító: 295 002). Jelen pályázaton rendelkezésre álló pénzügyi forrás összege 50.0</w:t>
      </w:r>
      <w:r>
        <w:rPr>
          <w:rFonts w:ascii="Times New Roman" w:eastAsia="Times New Roman" w:hAnsi="Times New Roman"/>
          <w:sz w:val="22"/>
        </w:rPr>
        <w:t>00.000,-forint.</w:t>
      </w:r>
    </w:p>
    <w:p w:rsidR="00000000" w:rsidRDefault="008733A0">
      <w:pPr>
        <w:spacing w:line="38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1"/>
        </w:numPr>
        <w:tabs>
          <w:tab w:val="left" w:pos="380"/>
        </w:tabs>
        <w:spacing w:line="194" w:lineRule="auto"/>
        <w:ind w:left="380" w:right="2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ösztöndíjjal és az ösztöndíjazottakkal kapcsolatos adminisztratív feladatokat és a magyarországi kapcsolattartást az ELTE és a Kolozsvári Magyar Egyetemi Intézet, a Szövetség a Közös Célokért révkomáromi irodája, a Szabadkai CMH Iroda, </w:t>
      </w:r>
      <w:r>
        <w:rPr>
          <w:rFonts w:ascii="Times New Roman" w:eastAsia="Times New Roman" w:hAnsi="Times New Roman"/>
          <w:sz w:val="22"/>
        </w:rPr>
        <w:t>illetve a Beregszászi Agora Információs Központ látja el.</w:t>
      </w:r>
    </w:p>
    <w:p w:rsidR="00000000" w:rsidRDefault="008733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pályázó a pályázaton való részvétellel elfogadja a következőket:</w:t>
      </w:r>
    </w:p>
    <w:p w:rsidR="00000000" w:rsidRDefault="008733A0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numPr>
          <w:ilvl w:val="0"/>
          <w:numId w:val="2"/>
        </w:numPr>
        <w:tabs>
          <w:tab w:val="left" w:pos="440"/>
        </w:tabs>
        <w:spacing w:line="180" w:lineRule="auto"/>
        <w:ind w:left="440" w:right="20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Kizárható az a pályázó, aki az adatlapon valótlan, hamis adatot szolgáltat, ilyen nyilatkozatot tesz a </w:t>
      </w:r>
      <w:r>
        <w:rPr>
          <w:rFonts w:ascii="Times New Roman" w:eastAsia="Times New Roman" w:hAnsi="Times New Roman"/>
          <w:sz w:val="21"/>
        </w:rPr>
        <w:t>pályázat benyújtásakor, i</w:t>
      </w:r>
      <w:r>
        <w:rPr>
          <w:rFonts w:ascii="Times New Roman" w:eastAsia="Times New Roman" w:hAnsi="Times New Roman"/>
          <w:sz w:val="21"/>
        </w:rPr>
        <w:t>lletve valamely, a pályázat elbírálását érintő valós tényt, adatot elhallgat.</w:t>
      </w:r>
    </w:p>
    <w:p w:rsidR="00000000" w:rsidRDefault="008733A0">
      <w:pPr>
        <w:spacing w:line="54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2"/>
        </w:numPr>
        <w:tabs>
          <w:tab w:val="left" w:pos="440"/>
        </w:tabs>
        <w:spacing w:line="194" w:lineRule="auto"/>
        <w:ind w:left="440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 beérkezett pályázatok feldolgozását, rendszerezését és kiértékelését a pályázati kiírásban meghatározott rangsorolási szabályok alapján </w:t>
      </w:r>
      <w:r>
        <w:rPr>
          <w:rFonts w:ascii="Times New Roman" w:eastAsia="Times New Roman" w:hAnsi="Times New Roman"/>
          <w:sz w:val="22"/>
        </w:rPr>
        <w:t>– a tudományterületek szakértőinek bevo</w:t>
      </w:r>
      <w:r>
        <w:rPr>
          <w:rFonts w:ascii="Times New Roman" w:eastAsia="Times New Roman" w:hAnsi="Times New Roman"/>
          <w:sz w:val="22"/>
        </w:rPr>
        <w:t xml:space="preserve">násával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 </w:t>
      </w:r>
      <w:r>
        <w:rPr>
          <w:rFonts w:ascii="Times New Roman" w:eastAsia="Times New Roman" w:hAnsi="Times New Roman"/>
          <w:sz w:val="22"/>
        </w:rPr>
        <w:t>pályázatot a szülőföldön lebonyolító Kolozsvári Magyar Egyetemi Intézet, a Szövetség a Közös</w:t>
      </w:r>
    </w:p>
    <w:p w:rsidR="00000000" w:rsidRDefault="008733A0">
      <w:pPr>
        <w:spacing w:line="4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spacing w:line="257" w:lineRule="auto"/>
        <w:ind w:left="4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Célokért révkomáromi irodája, a Szabadkai CMH Iroda és a Beregszászi Agora Információs Központ végzi.</w:t>
      </w:r>
    </w:p>
    <w:p w:rsidR="00000000" w:rsidRDefault="008733A0">
      <w:pPr>
        <w:spacing w:line="34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2"/>
        </w:numPr>
        <w:tabs>
          <w:tab w:val="left" w:pos="440"/>
        </w:tabs>
        <w:spacing w:line="194" w:lineRule="auto"/>
        <w:ind w:left="440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 pályázatok előértékelését a kiértékelés és a </w:t>
      </w:r>
      <w:r>
        <w:rPr>
          <w:rFonts w:ascii="Times New Roman" w:eastAsia="Times New Roman" w:hAnsi="Times New Roman"/>
          <w:sz w:val="22"/>
        </w:rPr>
        <w:t xml:space="preserve">további pályázati információk részben meghatározott </w:t>
      </w:r>
      <w:r>
        <w:rPr>
          <w:rFonts w:ascii="Times New Roman" w:eastAsia="Times New Roman" w:hAnsi="Times New Roman"/>
          <w:sz w:val="22"/>
        </w:rPr>
        <w:t xml:space="preserve">szempontok alapján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az adott régió vonatkozásában </w:t>
      </w:r>
      <w:r>
        <w:rPr>
          <w:rFonts w:ascii="Times New Roman" w:eastAsia="Times New Roman" w:hAnsi="Times New Roman"/>
          <w:sz w:val="22"/>
        </w:rPr>
        <w:t>– a regionális Előértékelő Bizottságok végzik,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melyek tagjait és elnökeit a szaktárca kérte fel. A regionális Előértékelő Bizottságok az alábbiak:</w:t>
      </w:r>
    </w:p>
    <w:p w:rsidR="00000000" w:rsidRDefault="008733A0">
      <w:pPr>
        <w:spacing w:line="4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Erdél</w:t>
      </w:r>
      <w:r>
        <w:rPr>
          <w:rFonts w:ascii="Times New Roman" w:eastAsia="Times New Roman" w:hAnsi="Times New Roman"/>
          <w:sz w:val="22"/>
        </w:rPr>
        <w:t xml:space="preserve">yi  Előértékelő  Bizottság  (elnöke:  Dr.  Tonk  Márton),  </w:t>
      </w:r>
      <w:r>
        <w:rPr>
          <w:rFonts w:ascii="Times New Roman" w:eastAsia="Times New Roman" w:hAnsi="Times New Roman"/>
          <w:sz w:val="22"/>
        </w:rPr>
        <w:t>-</w:t>
      </w:r>
    </w:p>
    <w:p w:rsidR="00000000" w:rsidRDefault="008733A0">
      <w:pPr>
        <w:spacing w:line="30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Kárpátaljai Előértékelő Bizottság (elnöke: Dr. Orosz Ildikó),</w:t>
      </w:r>
    </w:p>
    <w:p w:rsidR="00000000" w:rsidRDefault="008733A0">
      <w:pPr>
        <w:spacing w:line="40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Szlovákia</w:t>
      </w:r>
      <w:r>
        <w:rPr>
          <w:rFonts w:ascii="Times New Roman" w:eastAsia="Times New Roman" w:hAnsi="Times New Roman"/>
          <w:sz w:val="22"/>
        </w:rPr>
        <w:t>i Előértékelő Bizottság (elnöke: Dr. Szalay György),</w:t>
      </w:r>
      <w:r>
        <w:rPr>
          <w:rFonts w:ascii="Times New Roman" w:eastAsia="Times New Roman" w:hAnsi="Times New Roman"/>
          <w:sz w:val="22"/>
        </w:rPr>
        <w:t xml:space="preserve">  -</w:t>
      </w:r>
    </w:p>
    <w:p w:rsidR="00000000" w:rsidRDefault="008733A0">
      <w:pPr>
        <w:spacing w:line="30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Vajdasági Előértékelő Bizottság (elnöke: Dr. Takács Márta).</w:t>
      </w:r>
    </w:p>
    <w:p w:rsidR="00000000" w:rsidRDefault="008733A0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2"/>
        </w:numPr>
        <w:tabs>
          <w:tab w:val="left" w:pos="440"/>
        </w:tabs>
        <w:spacing w:line="180" w:lineRule="auto"/>
        <w:ind w:left="440" w:right="20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A be</w:t>
      </w:r>
      <w:r>
        <w:rPr>
          <w:rFonts w:ascii="Times New Roman" w:eastAsia="Times New Roman" w:hAnsi="Times New Roman"/>
          <w:sz w:val="21"/>
        </w:rPr>
        <w:t>érkezett pályázatok előértékelése alapján a nyertes pályázókra az Előértékelő Bizottságok tesznek előzetes javaslatot az Értékelő Bizo</w:t>
      </w:r>
      <w:r>
        <w:rPr>
          <w:rFonts w:ascii="Times New Roman" w:eastAsia="Times New Roman" w:hAnsi="Times New Roman"/>
          <w:sz w:val="21"/>
        </w:rPr>
        <w:t>ttságnak.</w:t>
      </w:r>
    </w:p>
    <w:p w:rsidR="00000000" w:rsidRDefault="008733A0">
      <w:pPr>
        <w:spacing w:line="2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2"/>
        </w:numPr>
        <w:tabs>
          <w:tab w:val="left" w:pos="440"/>
        </w:tabs>
        <w:spacing w:line="180" w:lineRule="auto"/>
        <w:ind w:left="440" w:hanging="42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Az Előértékelő Bizottság ülését követően a nyertes pályázókra tett előzetes javaslat eredményéről a</w:t>
      </w:r>
    </w:p>
    <w:p w:rsidR="00000000" w:rsidRDefault="008733A0">
      <w:pPr>
        <w:spacing w:line="5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spacing w:line="221" w:lineRule="auto"/>
        <w:ind w:left="4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Kolozsvári</w:t>
      </w:r>
      <w:r>
        <w:rPr>
          <w:rFonts w:ascii="Times New Roman" w:eastAsia="Times New Roman" w:hAnsi="Times New Roman"/>
          <w:sz w:val="22"/>
        </w:rPr>
        <w:t xml:space="preserve"> Magyar Egyetemi Intézet, a Szövetség a Közös Célokért révkomáromi irodája, a Szabadkai</w:t>
      </w:r>
    </w:p>
    <w:p w:rsidR="00000000" w:rsidRDefault="008733A0">
      <w:pPr>
        <w:spacing w:line="221" w:lineRule="auto"/>
        <w:ind w:left="440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spacing w:line="196" w:lineRule="exact"/>
        <w:rPr>
          <w:rFonts w:ascii="Times New Roman" w:eastAsia="Times New Roman" w:hAnsi="Times New Roman"/>
          <w:sz w:val="24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tabs>
          <w:tab w:val="left" w:pos="3587"/>
          <w:tab w:val="left" w:pos="7387"/>
        </w:tabs>
        <w:spacing w:line="0" w:lineRule="atLeast"/>
        <w:ind w:left="7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5" w:lineRule="auto"/>
        <w:ind w:left="42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CMH Iroda és a Beregszászi Agora Információs Központ a pályázó ál</w:t>
      </w:r>
      <w:r>
        <w:rPr>
          <w:rFonts w:ascii="Times New Roman" w:eastAsia="Times New Roman" w:hAnsi="Times New Roman"/>
          <w:sz w:val="22"/>
        </w:rPr>
        <w:t xml:space="preserve">tal megadott e-mail címre </w:t>
      </w:r>
      <w:r>
        <w:rPr>
          <w:rFonts w:ascii="Times New Roman" w:eastAsia="Times New Roman" w:hAnsi="Times New Roman"/>
          <w:sz w:val="22"/>
        </w:rPr>
        <w:t xml:space="preserve">értesítést küld a pályázó részére az ülést követő 2 munkanapon belül, illetve az előzetes javaslat eredményéről személyesen a fent felsorolt irodáknál lehet érdeklődni. Az előzetes javaslattal </w:t>
      </w:r>
      <w:r>
        <w:rPr>
          <w:rFonts w:ascii="Times New Roman" w:eastAsia="Times New Roman" w:hAnsi="Times New Roman"/>
          <w:sz w:val="22"/>
        </w:rPr>
        <w:t>kapcsolatban a pál</w:t>
      </w:r>
      <w:r>
        <w:rPr>
          <w:rFonts w:ascii="Times New Roman" w:eastAsia="Times New Roman" w:hAnsi="Times New Roman"/>
          <w:sz w:val="22"/>
        </w:rPr>
        <w:t>yázó az Értékelő Bi</w:t>
      </w:r>
      <w:r>
        <w:rPr>
          <w:rFonts w:ascii="Times New Roman" w:eastAsia="Times New Roman" w:hAnsi="Times New Roman"/>
          <w:sz w:val="22"/>
        </w:rPr>
        <w:t>zottsághoz nyújthat be észrevételt a tudomásszerzést követő 7</w:t>
      </w:r>
      <w:r>
        <w:rPr>
          <w:rFonts w:ascii="Times New Roman" w:eastAsia="Times New Roman" w:hAnsi="Times New Roman"/>
          <w:sz w:val="22"/>
        </w:rPr>
        <w:t xml:space="preserve"> napon belül.</w:t>
      </w:r>
    </w:p>
    <w:p w:rsidR="00000000" w:rsidRDefault="008733A0">
      <w:pPr>
        <w:spacing w:line="29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3"/>
        </w:numPr>
        <w:tabs>
          <w:tab w:val="left" w:pos="427"/>
        </w:tabs>
        <w:spacing w:line="194" w:lineRule="auto"/>
        <w:ind w:left="427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 pályázatok értékelését az Értékelő Bizottság végzi. Az Értékelő Bizottság elnöke: </w:t>
      </w:r>
      <w:r>
        <w:rPr>
          <w:rFonts w:ascii="Times New Roman" w:eastAsia="Times New Roman" w:hAnsi="Times New Roman"/>
          <w:sz w:val="22"/>
        </w:rPr>
        <w:t>dr. Érsek Vivienn,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az EMMI Kárpát-medence Magyar Oktatásának Fejlesztésért Fe</w:t>
      </w:r>
      <w:r>
        <w:rPr>
          <w:rFonts w:ascii="Times New Roman" w:eastAsia="Times New Roman" w:hAnsi="Times New Roman"/>
          <w:sz w:val="22"/>
        </w:rPr>
        <w:t>lelős Helyettes Áll</w:t>
      </w:r>
      <w:r>
        <w:rPr>
          <w:rFonts w:ascii="Times New Roman" w:eastAsia="Times New Roman" w:hAnsi="Times New Roman"/>
          <w:sz w:val="22"/>
        </w:rPr>
        <w:t>amtitkárság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titkárságvezetője, főosztályvezető. Az Értékelő Bizottság tagjai: Dr. Szalay György (Szlovákiából);</w:t>
      </w:r>
    </w:p>
    <w:p w:rsidR="00000000" w:rsidRDefault="008733A0">
      <w:pPr>
        <w:spacing w:line="4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spacing w:line="262" w:lineRule="auto"/>
        <w:ind w:left="42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Csapó Nándor (Horvátországból); Dr. Orosz Ildikó (Ukrajnából); Dr. Takács Márta (Szerbiából); Dr. Tonk Márton (Romániából); dr. Cseszregi Tamás</w:t>
      </w:r>
      <w:r>
        <w:rPr>
          <w:rFonts w:ascii="Times New Roman" w:eastAsia="Times New Roman" w:hAnsi="Times New Roman"/>
          <w:sz w:val="22"/>
        </w:rPr>
        <w:t>, az ELTE oktatási igazgatója; Dr. Mészáros Tamás, az ELTE Márton Áron Szakkollégium szakmai igazgatója és Benked László, az EMMI Külhoni</w:t>
      </w:r>
    </w:p>
    <w:p w:rsidR="00000000" w:rsidRDefault="008733A0">
      <w:pPr>
        <w:spacing w:line="7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spacing w:line="0" w:lineRule="atLeast"/>
        <w:ind w:left="4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Felsőoktatási Főosztályának ösztöndíj referense.</w:t>
      </w:r>
    </w:p>
    <w:p w:rsidR="00000000" w:rsidRDefault="008733A0">
      <w:pPr>
        <w:numPr>
          <w:ilvl w:val="0"/>
          <w:numId w:val="3"/>
        </w:numPr>
        <w:tabs>
          <w:tab w:val="left" w:pos="427"/>
        </w:tabs>
        <w:spacing w:line="181" w:lineRule="auto"/>
        <w:ind w:left="427" w:hanging="42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  pályázatokról  a  döntést  az  Értékelő  Bizottság  ja</w:t>
      </w:r>
      <w:r>
        <w:rPr>
          <w:rFonts w:ascii="Times New Roman" w:eastAsia="Times New Roman" w:hAnsi="Times New Roman"/>
          <w:sz w:val="19"/>
        </w:rPr>
        <w:t>vaslatának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–  mely  tartalmazza  az  Értékelő</w:t>
      </w:r>
    </w:p>
    <w:p w:rsidR="00000000" w:rsidRDefault="008733A0">
      <w:pPr>
        <w:spacing w:line="5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spacing w:line="258" w:lineRule="auto"/>
        <w:ind w:left="42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Bizottsághoz benyújtott észrevételeket és azok elbírálását is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figyelembe vételével Prof. Dr. Bódis József, </w:t>
      </w:r>
      <w:r>
        <w:rPr>
          <w:rFonts w:ascii="Times New Roman" w:eastAsia="Times New Roman" w:hAnsi="Times New Roman"/>
          <w:sz w:val="22"/>
        </w:rPr>
        <w:t>az Emberi Erőforrások Minisztériumának oktatásért felelős államtitkára hozza meg</w:t>
      </w:r>
      <w:r>
        <w:rPr>
          <w:rFonts w:ascii="Times New Roman" w:eastAsia="Times New Roman" w:hAnsi="Times New Roman"/>
          <w:sz w:val="22"/>
        </w:rPr>
        <w:t xml:space="preserve"> 2019. február 15. napjái</w:t>
      </w:r>
      <w:r>
        <w:rPr>
          <w:rFonts w:ascii="Times New Roman" w:eastAsia="Times New Roman" w:hAnsi="Times New Roman"/>
          <w:sz w:val="22"/>
        </w:rPr>
        <w:t xml:space="preserve">g. A </w:t>
      </w:r>
      <w:r>
        <w:rPr>
          <w:rFonts w:ascii="Times New Roman" w:eastAsia="Times New Roman" w:hAnsi="Times New Roman"/>
          <w:sz w:val="22"/>
        </w:rPr>
        <w:t>pályázat eredményéről szóló értesítés a döntést követően 7 munkanapon belül a</w:t>
      </w:r>
    </w:p>
    <w:p w:rsidR="00000000" w:rsidRDefault="008733A0">
      <w:pPr>
        <w:spacing w:line="1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spacing w:line="0" w:lineRule="atLeast"/>
        <w:ind w:left="4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Kolozsvári Magyar Egyetemi Intézet, a Szövetség a Közös Célokért révkomáromi irodája, a Szabadkai</w:t>
      </w:r>
    </w:p>
    <w:p w:rsidR="00000000" w:rsidRDefault="008733A0">
      <w:pPr>
        <w:spacing w:line="4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spacing w:line="255" w:lineRule="auto"/>
        <w:ind w:left="4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CMH Iroda és a Beregszászi Agora Információs Központ részéről elektronikus </w:t>
      </w:r>
      <w:r>
        <w:rPr>
          <w:rFonts w:ascii="Times New Roman" w:eastAsia="Times New Roman" w:hAnsi="Times New Roman"/>
          <w:sz w:val="22"/>
        </w:rPr>
        <w:t>lev</w:t>
      </w:r>
      <w:r>
        <w:rPr>
          <w:rFonts w:ascii="Times New Roman" w:eastAsia="Times New Roman" w:hAnsi="Times New Roman"/>
          <w:sz w:val="22"/>
        </w:rPr>
        <w:t>elezés (e-mail) útján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kerül megküldésre a pályázó által a pályázati adatlapon megadott e-mail címre.</w:t>
      </w:r>
    </w:p>
    <w:p w:rsidR="00000000" w:rsidRDefault="008733A0">
      <w:pPr>
        <w:spacing w:line="38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0"/>
          <w:numId w:val="3"/>
        </w:numPr>
        <w:tabs>
          <w:tab w:val="left" w:pos="427"/>
        </w:tabs>
        <w:spacing w:line="226" w:lineRule="auto"/>
        <w:ind w:left="427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 döntéssel szemben fellebbezésnek nincs helye, a pályázó azonban az emberi erőforrások </w:t>
      </w:r>
      <w:r>
        <w:rPr>
          <w:rFonts w:ascii="Times New Roman" w:eastAsia="Times New Roman" w:hAnsi="Times New Roman"/>
          <w:sz w:val="22"/>
        </w:rPr>
        <w:t>miniszteréhez kifogást nyújthat be, ha a pályázati eljárás, a pály</w:t>
      </w:r>
      <w:r>
        <w:rPr>
          <w:rFonts w:ascii="Times New Roman" w:eastAsia="Times New Roman" w:hAnsi="Times New Roman"/>
          <w:sz w:val="22"/>
        </w:rPr>
        <w:t xml:space="preserve">ázat befogadása vagy a pályázati döntés </w:t>
      </w:r>
      <w:r>
        <w:rPr>
          <w:rFonts w:ascii="Times New Roman" w:eastAsia="Times New Roman" w:hAnsi="Times New Roman"/>
          <w:sz w:val="22"/>
        </w:rPr>
        <w:t xml:space="preserve">jogszabálysértő. A kifogást a pályázónak a kifogásolt intézkedésről vagy mulasztásról való tudomásszerzéstől számított 10 munkanapon, de legkésőbb a kifogásolt intézkedés megtörténtétől vagy </w:t>
      </w:r>
      <w:r>
        <w:rPr>
          <w:rFonts w:ascii="Times New Roman" w:eastAsia="Times New Roman" w:hAnsi="Times New Roman"/>
          <w:sz w:val="22"/>
        </w:rPr>
        <w:t xml:space="preserve">a mulasztástól számított </w:t>
      </w:r>
      <w:r>
        <w:rPr>
          <w:rFonts w:ascii="Times New Roman" w:eastAsia="Times New Roman" w:hAnsi="Times New Roman"/>
          <w:sz w:val="22"/>
        </w:rPr>
        <w:t>30 munkanapon belül kell benyújtania. A pályázónak a kifogás benyújtásakor az Ávr. 102/D. §-ában meghatározottak szerint kell eljárnia.</w:t>
      </w:r>
    </w:p>
    <w:p w:rsidR="00000000" w:rsidRDefault="008733A0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3"/>
        </w:numPr>
        <w:tabs>
          <w:tab w:val="left" w:pos="427"/>
        </w:tabs>
        <w:spacing w:line="209" w:lineRule="auto"/>
        <w:ind w:left="427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ösztöndíjat elnyert pályázókkal az ELTE a döntést követő 30 napon belül személyenként szerződést </w:t>
      </w:r>
      <w:r>
        <w:rPr>
          <w:rFonts w:ascii="Times New Roman" w:eastAsia="Times New Roman" w:hAnsi="Times New Roman"/>
          <w:sz w:val="22"/>
        </w:rPr>
        <w:t>köt, amely tartalma</w:t>
      </w:r>
      <w:r>
        <w:rPr>
          <w:rFonts w:ascii="Times New Roman" w:eastAsia="Times New Roman" w:hAnsi="Times New Roman"/>
          <w:sz w:val="22"/>
        </w:rPr>
        <w:t xml:space="preserve">zza az ösztöndíjazott jogait, valamint az ösztöndíjasnak az ösztöndíjazó felé </w:t>
      </w:r>
      <w:r>
        <w:rPr>
          <w:rFonts w:ascii="Times New Roman" w:eastAsia="Times New Roman" w:hAnsi="Times New Roman"/>
          <w:sz w:val="22"/>
        </w:rPr>
        <w:t xml:space="preserve">teljesítendő, az alábbi adatokra (és azok megváltozására) vonatkozó </w:t>
      </w:r>
      <w:r>
        <w:rPr>
          <w:rFonts w:ascii="Times New Roman" w:eastAsia="Times New Roman" w:hAnsi="Times New Roman"/>
          <w:b/>
          <w:i/>
          <w:sz w:val="22"/>
        </w:rPr>
        <w:t>adatszolgáltatási és tájékoztatási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kötelezettségeit:</w:t>
      </w:r>
    </w:p>
    <w:p w:rsidR="00000000" w:rsidRDefault="008733A0">
      <w:pPr>
        <w:spacing w:line="44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1"/>
          <w:numId w:val="3"/>
        </w:numPr>
        <w:tabs>
          <w:tab w:val="left" w:pos="1447"/>
        </w:tabs>
        <w:spacing w:line="0" w:lineRule="atLeast"/>
        <w:ind w:left="144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oktató személyes adatai (név, lakcím, azonosító okmán</w:t>
      </w:r>
      <w:r>
        <w:rPr>
          <w:rFonts w:ascii="Times New Roman" w:eastAsia="Times New Roman" w:hAnsi="Times New Roman"/>
          <w:sz w:val="22"/>
        </w:rPr>
        <w:t>y száma);</w:t>
      </w:r>
    </w:p>
    <w:p w:rsidR="00000000" w:rsidRDefault="008733A0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3"/>
        </w:numPr>
        <w:tabs>
          <w:tab w:val="left" w:pos="1447"/>
        </w:tabs>
        <w:spacing w:line="257" w:lineRule="auto"/>
        <w:ind w:left="144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elérhetőségi címének, egyéb elérhetőségének (pl. e</w:t>
      </w:r>
      <w:r>
        <w:rPr>
          <w:rFonts w:ascii="Times New Roman" w:eastAsia="Times New Roman" w:hAnsi="Times New Roman"/>
          <w:sz w:val="22"/>
        </w:rPr>
        <w:t>-mail cím) bejelentése, illetve ezen</w:t>
      </w:r>
      <w:r>
        <w:rPr>
          <w:rFonts w:ascii="Times New Roman" w:eastAsia="Times New Roman" w:hAnsi="Times New Roman"/>
          <w:sz w:val="22"/>
        </w:rPr>
        <w:t xml:space="preserve"> elérhetőségeinek megváltozása.</w:t>
      </w:r>
    </w:p>
    <w:p w:rsidR="00000000" w:rsidRDefault="008733A0">
      <w:pPr>
        <w:spacing w:line="3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6" w:lineRule="auto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pályázók pályázatuk benyújtásával hozzájárulnak a pályázati adatlapon szereplő személyes adataiknak </w:t>
      </w:r>
      <w:r>
        <w:rPr>
          <w:rFonts w:ascii="Times New Roman" w:eastAsia="Times New Roman" w:hAnsi="Times New Roman"/>
          <w:sz w:val="22"/>
        </w:rPr>
        <w:t>a Kolozsvári Magyar Egye</w:t>
      </w:r>
      <w:r>
        <w:rPr>
          <w:rFonts w:ascii="Times New Roman" w:eastAsia="Times New Roman" w:hAnsi="Times New Roman"/>
          <w:sz w:val="22"/>
        </w:rPr>
        <w:t>temi Intézet, vagy a Szövetség a Közös Célokért révkomáromi irodája, vagy a Szabadkai CMH Iroda, vagy a Beregszászi Agora Információs Központ, illetve az EMMI, az ELTE, valamint a fentiekben meghatározott döntés-</w:t>
      </w:r>
      <w:r>
        <w:rPr>
          <w:rFonts w:ascii="Times New Roman" w:eastAsia="Times New Roman" w:hAnsi="Times New Roman"/>
          <w:sz w:val="22"/>
        </w:rPr>
        <w:t>előkészítő testületek és döntéshozók álta</w:t>
      </w:r>
      <w:r>
        <w:rPr>
          <w:rFonts w:ascii="Times New Roman" w:eastAsia="Times New Roman" w:hAnsi="Times New Roman"/>
          <w:sz w:val="22"/>
        </w:rPr>
        <w:t xml:space="preserve">li </w:t>
      </w:r>
      <w:r>
        <w:rPr>
          <w:rFonts w:ascii="Times New Roman" w:eastAsia="Times New Roman" w:hAnsi="Times New Roman"/>
          <w:sz w:val="22"/>
        </w:rPr>
        <w:t xml:space="preserve">kezeléséhez a döntéshez szükséges ideig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de legfeljebb 2019. március 31. napjáig. A nyertes pályázók pályázatuk </w:t>
      </w:r>
      <w:r>
        <w:rPr>
          <w:rFonts w:ascii="Times New Roman" w:eastAsia="Times New Roman" w:hAnsi="Times New Roman"/>
          <w:sz w:val="22"/>
        </w:rPr>
        <w:t xml:space="preserve">benyújtásával továbbá hozzájárulnak a pályázati adatlapon szereplő személyes adatainak a Kolozsvári </w:t>
      </w:r>
      <w:r>
        <w:rPr>
          <w:rFonts w:ascii="Times New Roman" w:eastAsia="Times New Roman" w:hAnsi="Times New Roman"/>
          <w:sz w:val="22"/>
        </w:rPr>
        <w:t>Magyar Egyetemi Intézet, vagy a Szövetség a</w:t>
      </w:r>
      <w:r>
        <w:rPr>
          <w:rFonts w:ascii="Times New Roman" w:eastAsia="Times New Roman" w:hAnsi="Times New Roman"/>
          <w:sz w:val="22"/>
        </w:rPr>
        <w:t xml:space="preserve"> Közös Célokért révkomáromi irodája, vagy a Szabadkai CMH Iroda, vagy a Beregszászi Agora Információs Központ, illetve az EMMI és az ELTE általi, az </w:t>
      </w:r>
      <w:r>
        <w:rPr>
          <w:rFonts w:ascii="Times New Roman" w:eastAsia="Times New Roman" w:hAnsi="Times New Roman"/>
          <w:sz w:val="22"/>
        </w:rPr>
        <w:t>ösztöndíj folyósításához szükséges kezeléséhez az ösztöndíjas jogviszony időtartama alatt. Az adatszolgálta</w:t>
      </w:r>
      <w:r>
        <w:rPr>
          <w:rFonts w:ascii="Times New Roman" w:eastAsia="Times New Roman" w:hAnsi="Times New Roman"/>
          <w:sz w:val="22"/>
        </w:rPr>
        <w:t>tási kötelezettség nem teljesítése az ösztöndíjas jogviszony megszűnését v</w:t>
      </w:r>
      <w:r>
        <w:rPr>
          <w:rFonts w:ascii="Times New Roman" w:eastAsia="Times New Roman" w:hAnsi="Times New Roman"/>
          <w:sz w:val="22"/>
        </w:rPr>
        <w:t>onja maga után.</w:t>
      </w:r>
    </w:p>
    <w:p w:rsidR="00000000" w:rsidRDefault="008733A0">
      <w:pPr>
        <w:spacing w:line="34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4"/>
        </w:numPr>
        <w:tabs>
          <w:tab w:val="left" w:pos="427"/>
        </w:tabs>
        <w:spacing w:line="238" w:lineRule="auto"/>
        <w:ind w:left="427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ösztöndíjat elnyerő pályázó részére az ELTE folyósítja az ösztöndíjat. Az ösztöndíj a személyi </w:t>
      </w:r>
      <w:r>
        <w:rPr>
          <w:rFonts w:ascii="Times New Roman" w:eastAsia="Times New Roman" w:hAnsi="Times New Roman"/>
          <w:sz w:val="22"/>
        </w:rPr>
        <w:t>jövedelemadóról szóló 1995. évi CXVII. törvény (SZJA) 1. sz. mellék</w:t>
      </w:r>
      <w:r>
        <w:rPr>
          <w:rFonts w:ascii="Times New Roman" w:eastAsia="Times New Roman" w:hAnsi="Times New Roman"/>
          <w:sz w:val="22"/>
        </w:rPr>
        <w:t>lete 4.7. pontja értelmében adómentes. Az ösztöndíjas tudomásul veszi, hog</w:t>
      </w:r>
      <w:r>
        <w:rPr>
          <w:rFonts w:ascii="Times New Roman" w:eastAsia="Times New Roman" w:hAnsi="Times New Roman"/>
          <w:sz w:val="22"/>
        </w:rPr>
        <w:t>y külföldi illetőségű adóalanynak minősül, és az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ösztöndíjszerződésből származó jövedelmét az illetősége szerinti országban a helyi adójogszabályoknak megfelelően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szükség szerint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bejelenteni és az azt terhelő adót befizetni köteles. A megítélt </w:t>
      </w:r>
      <w:r>
        <w:rPr>
          <w:rFonts w:ascii="Times New Roman" w:eastAsia="Times New Roman" w:hAnsi="Times New Roman"/>
          <w:sz w:val="22"/>
        </w:rPr>
        <w:t>ösztöndí</w:t>
      </w:r>
      <w:r>
        <w:rPr>
          <w:rFonts w:ascii="Times New Roman" w:eastAsia="Times New Roman" w:hAnsi="Times New Roman"/>
          <w:sz w:val="22"/>
        </w:rPr>
        <w:t>jat az ösztöndíjazó időlegesen felfüggesztheti, vagy véglegesen megszüntetheti, illetve az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ösztöndíjas az ösztöndíj, vagy annak egy része visszafizetésére kötelezhető, amennyiben az </w:t>
      </w:r>
      <w:r>
        <w:rPr>
          <w:rFonts w:ascii="Times New Roman" w:eastAsia="Times New Roman" w:hAnsi="Times New Roman"/>
          <w:sz w:val="22"/>
        </w:rPr>
        <w:t>ösztöndíjas a pályázati kiírásban, az ösztöndíjszerződésben vagy a vonatko</w:t>
      </w:r>
      <w:r>
        <w:rPr>
          <w:rFonts w:ascii="Times New Roman" w:eastAsia="Times New Roman" w:hAnsi="Times New Roman"/>
          <w:sz w:val="22"/>
        </w:rPr>
        <w:t>zó jogszabályban foglaltakat megszegi.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Amennyiben az ösztöndíjast a pályázat kiírói az ösztöndíj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vagy annak egy részének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visszafizetésére</w:t>
      </w:r>
    </w:p>
    <w:p w:rsidR="00000000" w:rsidRDefault="008733A0">
      <w:pPr>
        <w:tabs>
          <w:tab w:val="left" w:pos="427"/>
        </w:tabs>
        <w:spacing w:line="238" w:lineRule="auto"/>
        <w:ind w:left="427" w:hanging="427"/>
        <w:jc w:val="both"/>
        <w:rPr>
          <w:rFonts w:ascii="Wingdings" w:eastAsia="Wingdings" w:hAnsi="Wingdings"/>
          <w:sz w:val="44"/>
          <w:vertAlign w:val="superscript"/>
        </w:rPr>
        <w:sectPr w:rsidR="00000000">
          <w:pgSz w:w="11900" w:h="16838"/>
          <w:pgMar w:top="702" w:right="1126" w:bottom="174" w:left="1133" w:header="0" w:footer="0" w:gutter="0"/>
          <w:cols w:space="0" w:equalWidth="0">
            <w:col w:w="9647"/>
          </w:cols>
          <w:docGrid w:linePitch="360"/>
        </w:sectPr>
      </w:pPr>
    </w:p>
    <w:p w:rsidR="00000000" w:rsidRDefault="008733A0">
      <w:pPr>
        <w:spacing w:line="24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1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</w:p>
    <w:p w:rsidR="00000000" w:rsidRDefault="008733A0">
      <w:pPr>
        <w:spacing w:line="0" w:lineRule="atLeast"/>
        <w:ind w:right="13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33" w:header="0" w:footer="0" w:gutter="0"/>
          <w:cols w:space="0" w:equalWidth="0">
            <w:col w:w="9647"/>
          </w:cols>
          <w:docGrid w:linePitch="360"/>
        </w:sectPr>
      </w:pPr>
    </w:p>
    <w:p w:rsidR="00000000" w:rsidRDefault="008733A0">
      <w:pPr>
        <w:tabs>
          <w:tab w:val="left" w:pos="3601"/>
          <w:tab w:val="left" w:pos="7401"/>
        </w:tabs>
        <w:spacing w:line="0" w:lineRule="atLeast"/>
        <w:ind w:left="22"/>
        <w:rPr>
          <w:rFonts w:ascii="Times New Roman" w:eastAsia="Times New Roman" w:hAnsi="Times New Roman"/>
        </w:rPr>
      </w:pPr>
      <w:bookmarkStart w:id="2" w:name="page3"/>
      <w:bookmarkEnd w:id="2"/>
      <w:r>
        <w:rPr>
          <w:rFonts w:ascii="Times New Roman" w:eastAsia="Times New Roman" w:hAnsi="Times New Roman"/>
        </w:rPr>
        <w:lastRenderedPageBreak/>
        <w:t>Erdély, Felvidék, Kárpátalja, Vajda</w:t>
      </w:r>
      <w:r>
        <w:rPr>
          <w:rFonts w:ascii="Times New Roman" w:eastAsia="Times New Roman" w:hAnsi="Times New Roman"/>
        </w:rPr>
        <w:t>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36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44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kötelezik, akkor az államháztartásról szóló 2011. évi CXCV. törvény 53/A. § (2) bekezdése és az Ávr.</w:t>
      </w:r>
    </w:p>
    <w:p w:rsidR="00000000" w:rsidRDefault="008733A0">
      <w:pPr>
        <w:spacing w:line="42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3" w:lineRule="auto"/>
        <w:ind w:left="442"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98. §-a rendelkezései alapján az ösztöndíjnak a jegybanki alapkamat kétszeresével megnövelt</w:t>
      </w:r>
      <w:r>
        <w:rPr>
          <w:rFonts w:ascii="Times New Roman" w:eastAsia="Times New Roman" w:hAnsi="Times New Roman"/>
          <w:sz w:val="22"/>
        </w:rPr>
        <w:t xml:space="preserve"> összegét </w:t>
      </w:r>
      <w:r>
        <w:rPr>
          <w:rFonts w:ascii="Times New Roman" w:eastAsia="Times New Roman" w:hAnsi="Times New Roman"/>
          <w:sz w:val="22"/>
        </w:rPr>
        <w:t xml:space="preserve">kell visszafizetnie. A kamatszámítás kezdő időpontja a visszafizetendő ösztöndíj első alkalommal </w:t>
      </w:r>
      <w:r>
        <w:rPr>
          <w:rFonts w:ascii="Times New Roman" w:eastAsia="Times New Roman" w:hAnsi="Times New Roman"/>
          <w:sz w:val="22"/>
        </w:rPr>
        <w:t>történt folyósításának napja, utolsó napja a visszafizetési kötelezettség teljesítésének napja.</w:t>
      </w:r>
    </w:p>
    <w:p w:rsidR="00000000" w:rsidRDefault="008733A0">
      <w:pPr>
        <w:spacing w:line="27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5"/>
        </w:numPr>
        <w:tabs>
          <w:tab w:val="left" w:pos="442"/>
        </w:tabs>
        <w:spacing w:line="194" w:lineRule="auto"/>
        <w:ind w:left="442" w:hanging="42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pályázaton ösztöndíjat nyert hallgatók névsora nyi</w:t>
      </w:r>
      <w:r>
        <w:rPr>
          <w:rFonts w:ascii="Times New Roman" w:eastAsia="Times New Roman" w:hAnsi="Times New Roman"/>
          <w:sz w:val="22"/>
        </w:rPr>
        <w:t>lvános. A pályázó a pályázaton való részvétellel hozzájárul ahhoz, hogy neve az ösztöndíj elnyerése esetén nyilvánosságra kerüljön a https://martonaron.elte.hu honlapon.</w:t>
      </w:r>
    </w:p>
    <w:p w:rsidR="00000000" w:rsidRDefault="008733A0">
      <w:pPr>
        <w:spacing w:line="36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Pályázhat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minden olyan, 2018. szeptember 1. napján</w:t>
      </w:r>
    </w:p>
    <w:p w:rsidR="00000000" w:rsidRDefault="008733A0">
      <w:pPr>
        <w:spacing w:line="51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6"/>
        </w:numPr>
        <w:tabs>
          <w:tab w:val="left" w:pos="442"/>
        </w:tabs>
        <w:spacing w:line="180" w:lineRule="auto"/>
        <w:ind w:left="442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38. életévét be nem töltött román</w:t>
      </w:r>
      <w:r>
        <w:rPr>
          <w:rFonts w:ascii="Times New Roman" w:eastAsia="Times New Roman" w:hAnsi="Times New Roman"/>
          <w:sz w:val="21"/>
        </w:rPr>
        <w:t xml:space="preserve"> állampolgárságú, magyar nemzetiségű személy, aki a 201</w:t>
      </w:r>
      <w:r>
        <w:rPr>
          <w:rFonts w:ascii="Times New Roman" w:eastAsia="Times New Roman" w:hAnsi="Times New Roman"/>
          <w:sz w:val="21"/>
        </w:rPr>
        <w:t>8/2019-es</w:t>
      </w:r>
      <w:r>
        <w:rPr>
          <w:rFonts w:ascii="Times New Roman" w:eastAsia="Times New Roman" w:hAnsi="Times New Roman"/>
          <w:sz w:val="21"/>
        </w:rPr>
        <w:t xml:space="preserve"> tanévben valamely romániai államilag akkreditált felsőoktatási intézményben</w:t>
      </w:r>
      <w:r>
        <w:rPr>
          <w:rFonts w:ascii="Times New Roman" w:eastAsia="Times New Roman" w:hAnsi="Times New Roman"/>
          <w:sz w:val="21"/>
        </w:rPr>
        <w:t>; vagy</w:t>
      </w:r>
    </w:p>
    <w:p w:rsidR="00000000" w:rsidRDefault="008733A0">
      <w:pPr>
        <w:spacing w:line="53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6"/>
        </w:numPr>
        <w:tabs>
          <w:tab w:val="left" w:pos="442"/>
        </w:tabs>
        <w:spacing w:line="180" w:lineRule="auto"/>
        <w:ind w:left="442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40. életévét be nem töl</w:t>
      </w:r>
      <w:r>
        <w:rPr>
          <w:rFonts w:ascii="Times New Roman" w:eastAsia="Times New Roman" w:hAnsi="Times New Roman"/>
          <w:sz w:val="21"/>
        </w:rPr>
        <w:t>tött szlovák állampolgárságú, magyar nemzetiségű személy, aki a</w:t>
      </w:r>
      <w:r>
        <w:rPr>
          <w:rFonts w:ascii="Times New Roman" w:eastAsia="Times New Roman" w:hAnsi="Times New Roman"/>
          <w:sz w:val="21"/>
        </w:rPr>
        <w:t xml:space="preserve"> 2018/2019-es </w:t>
      </w:r>
      <w:r>
        <w:rPr>
          <w:rFonts w:ascii="Times New Roman" w:eastAsia="Times New Roman" w:hAnsi="Times New Roman"/>
          <w:sz w:val="21"/>
        </w:rPr>
        <w:t>tanévben</w:t>
      </w:r>
      <w:r>
        <w:rPr>
          <w:rFonts w:ascii="Times New Roman" w:eastAsia="Times New Roman" w:hAnsi="Times New Roman"/>
          <w:sz w:val="21"/>
        </w:rPr>
        <w:t xml:space="preserve"> valamely szlovákiai állami felsőoktatási intézményben; vagy</w:t>
      </w:r>
    </w:p>
    <w:p w:rsidR="00000000" w:rsidRDefault="008733A0">
      <w:pPr>
        <w:spacing w:line="54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6"/>
        </w:numPr>
        <w:tabs>
          <w:tab w:val="left" w:pos="442"/>
        </w:tabs>
        <w:spacing w:line="180" w:lineRule="auto"/>
        <w:ind w:left="442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40. életévét be nem töltött szerb állampolgárságú, magyar nemzetiségű személy, aki a </w:t>
      </w:r>
      <w:r>
        <w:rPr>
          <w:rFonts w:ascii="Times New Roman" w:eastAsia="Times New Roman" w:hAnsi="Times New Roman"/>
          <w:sz w:val="21"/>
        </w:rPr>
        <w:t>2018/2019-es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tanévben va</w:t>
      </w:r>
      <w:r>
        <w:rPr>
          <w:rFonts w:ascii="Times New Roman" w:eastAsia="Times New Roman" w:hAnsi="Times New Roman"/>
          <w:sz w:val="21"/>
        </w:rPr>
        <w:t>lamely szerbiai állami felsőoktatási intézményben; vagy</w:t>
      </w:r>
    </w:p>
    <w:p w:rsidR="00000000" w:rsidRDefault="008733A0">
      <w:pPr>
        <w:spacing w:line="53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6"/>
        </w:numPr>
        <w:tabs>
          <w:tab w:val="left" w:pos="442"/>
        </w:tabs>
        <w:spacing w:line="180" w:lineRule="auto"/>
        <w:ind w:left="442" w:hanging="42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35. életévét be nem töltött </w:t>
      </w:r>
      <w:r>
        <w:rPr>
          <w:rFonts w:ascii="Times New Roman" w:eastAsia="Times New Roman" w:hAnsi="Times New Roman"/>
          <w:sz w:val="21"/>
        </w:rPr>
        <w:t xml:space="preserve">ukrán állampolgárságú, magyar nemzetiségű személy, aki a </w:t>
      </w:r>
      <w:r>
        <w:rPr>
          <w:rFonts w:ascii="Times New Roman" w:eastAsia="Times New Roman" w:hAnsi="Times New Roman"/>
          <w:sz w:val="21"/>
        </w:rPr>
        <w:t>2018/2019-es</w:t>
      </w:r>
      <w:r>
        <w:rPr>
          <w:rFonts w:ascii="Times New Roman" w:eastAsia="Times New Roman" w:hAnsi="Times New Roman"/>
          <w:sz w:val="21"/>
        </w:rPr>
        <w:t xml:space="preserve"> tanévben valamely Ukrajna Kárpátalja Közigazgatási Területen („Zakarpatszka oblaszty</w:t>
      </w:r>
      <w:r>
        <w:rPr>
          <w:rFonts w:ascii="Times New Roman" w:eastAsia="Times New Roman" w:hAnsi="Times New Roman"/>
          <w:sz w:val="21"/>
        </w:rPr>
        <w:t>”) működő,</w:t>
      </w:r>
    </w:p>
    <w:p w:rsidR="00000000" w:rsidRDefault="008733A0">
      <w:pPr>
        <w:spacing w:line="5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57" w:lineRule="auto"/>
        <w:ind w:left="162" w:right="1400" w:firstLine="28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Ukrajnában III.-</w:t>
      </w:r>
      <w:r>
        <w:rPr>
          <w:rFonts w:ascii="Times New Roman" w:eastAsia="Times New Roman" w:hAnsi="Times New Roman"/>
          <w:sz w:val="22"/>
        </w:rPr>
        <w:t>VI. szintű akkreditált státuszú felsőoktatási intézményben; főállású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oktat</w:t>
      </w:r>
      <w:r>
        <w:rPr>
          <w:rFonts w:ascii="Times New Roman" w:eastAsia="Times New Roman" w:hAnsi="Times New Roman"/>
          <w:sz w:val="22"/>
        </w:rPr>
        <w:t>óként (munkaviszonyban vagy megbízási szerződéssel) dolgozik* és igazoltan</w:t>
      </w:r>
    </w:p>
    <w:p w:rsidR="00000000" w:rsidRDefault="008733A0">
      <w:pPr>
        <w:spacing w:line="23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1"/>
          <w:numId w:val="7"/>
        </w:numPr>
        <w:tabs>
          <w:tab w:val="left" w:pos="722"/>
        </w:tabs>
        <w:spacing w:line="0" w:lineRule="atLeast"/>
        <w:ind w:left="722" w:hanging="5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órarend szerinti oktatói tevékenységet folytat magyar nyelven is, és/vagy</w:t>
      </w:r>
    </w:p>
    <w:p w:rsidR="00000000" w:rsidRDefault="008733A0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7"/>
        </w:numPr>
        <w:tabs>
          <w:tab w:val="left" w:pos="728"/>
        </w:tabs>
        <w:spacing w:line="263" w:lineRule="auto"/>
        <w:ind w:left="162" w:right="20" w:hanging="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órarenden kívüli rendszeres oktatói tevékenységet (konzultációt, tutoriális vagy szaknyelvi képzést) </w:t>
      </w:r>
      <w:r>
        <w:rPr>
          <w:rFonts w:ascii="Times New Roman" w:eastAsia="Times New Roman" w:hAnsi="Times New Roman"/>
          <w:sz w:val="22"/>
        </w:rPr>
        <w:t>vége</w:t>
      </w:r>
      <w:r>
        <w:rPr>
          <w:rFonts w:ascii="Times New Roman" w:eastAsia="Times New Roman" w:hAnsi="Times New Roman"/>
          <w:sz w:val="22"/>
        </w:rPr>
        <w:t xml:space="preserve">z magyar nyelven olyan képzésben (szakon), ahol a tanévben órarend szerint nincs magyar nyelvű </w:t>
      </w:r>
      <w:r>
        <w:rPr>
          <w:rFonts w:ascii="Times New Roman" w:eastAsia="Times New Roman" w:hAnsi="Times New Roman"/>
          <w:sz w:val="22"/>
        </w:rPr>
        <w:t>oktatás**; és - nem esik a pályázásból kizáró feltételek hatálya alá.</w:t>
      </w:r>
    </w:p>
    <w:p w:rsidR="00000000" w:rsidRDefault="008733A0">
      <w:pPr>
        <w:spacing w:line="342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7"/>
        </w:numPr>
        <w:tabs>
          <w:tab w:val="left" w:pos="142"/>
        </w:tabs>
        <w:spacing w:line="0" w:lineRule="atLeast"/>
        <w:ind w:left="142" w:hanging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szlovák állampolgárságúak esetén: főállású oktatóként, vagy kutatóként (munkaviszonyban) d</w:t>
      </w:r>
      <w:r>
        <w:rPr>
          <w:rFonts w:ascii="Times New Roman" w:eastAsia="Times New Roman" w:hAnsi="Times New Roman"/>
        </w:rPr>
        <w:t>olgozik.</w:t>
      </w:r>
    </w:p>
    <w:p w:rsidR="00000000" w:rsidRDefault="008733A0">
      <w:pPr>
        <w:spacing w:line="4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4" w:lineRule="auto"/>
        <w:ind w:left="2" w:hanging="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**szlovák állampolgárságúak esetén: órarenden kívüli rendszeres dokumentálható oktatói tevékenységet végez főállású </w:t>
      </w:r>
      <w:r>
        <w:rPr>
          <w:rFonts w:ascii="Times New Roman" w:eastAsia="Times New Roman" w:hAnsi="Times New Roman"/>
        </w:rPr>
        <w:t xml:space="preserve">oktatóként vagy kutatóként (konzultációt, tutoriális vagy szaknyelvi képzést) magyar nyelven olyan egyetemen és </w:t>
      </w:r>
      <w:r>
        <w:rPr>
          <w:rFonts w:ascii="Times New Roman" w:eastAsia="Times New Roman" w:hAnsi="Times New Roman"/>
        </w:rPr>
        <w:t>olyan képzésben (s</w:t>
      </w:r>
      <w:r>
        <w:rPr>
          <w:rFonts w:ascii="Times New Roman" w:eastAsia="Times New Roman" w:hAnsi="Times New Roman"/>
        </w:rPr>
        <w:t>zakon), ahol a tanévben órarend szerint nincs magyar nyelvű oktatás.</w:t>
      </w:r>
    </w:p>
    <w:p w:rsidR="00000000" w:rsidRDefault="008733A0">
      <w:pPr>
        <w:spacing w:line="38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9" w:lineRule="auto"/>
        <w:ind w:left="2" w:hanging="9"/>
        <w:jc w:val="both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Figyelem! A pályázaton történő részvételnek nem akadálya a magyar állampolgárság (azaz a kettős </w:t>
      </w:r>
      <w:r>
        <w:rPr>
          <w:rFonts w:ascii="Times New Roman" w:eastAsia="Times New Roman" w:hAnsi="Times New Roman"/>
          <w:b/>
          <w:i/>
          <w:sz w:val="22"/>
        </w:rPr>
        <w:t>állampolgárság) megléte, vagy az arra irányuló kérelem benyújtása!</w:t>
      </w: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6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pályázásból kizáró </w:t>
      </w:r>
      <w:r>
        <w:rPr>
          <w:rFonts w:ascii="Times New Roman" w:eastAsia="Times New Roman" w:hAnsi="Times New Roman"/>
          <w:b/>
          <w:sz w:val="22"/>
          <w:u w:val="single"/>
        </w:rPr>
        <w:t>feltételek:</w:t>
      </w:r>
    </w:p>
    <w:p w:rsidR="00000000" w:rsidRDefault="008733A0">
      <w:pPr>
        <w:spacing w:line="35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0" w:lineRule="auto"/>
        <w:ind w:left="382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Nem pályázhatnak a szomszédos államokban élő magyarokról </w:t>
      </w:r>
      <w:r>
        <w:rPr>
          <w:rFonts w:ascii="Times New Roman" w:eastAsia="Times New Roman" w:hAnsi="Times New Roman"/>
          <w:sz w:val="21"/>
        </w:rPr>
        <w:t>szóló 2001. évi LXII. törvény hatálya alá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nem tartozó személyek.</w:t>
      </w:r>
    </w:p>
    <w:p w:rsidR="00000000" w:rsidRDefault="008733A0">
      <w:pPr>
        <w:spacing w:line="54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0" w:lineRule="auto"/>
        <w:ind w:left="382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Nem pályázhatnak a szülőföldjükön (azaz Romániában, Szerbiában, Szlovákiában vagy Ukrajnában) állandó lakcímmel nem rend</w:t>
      </w:r>
      <w:r>
        <w:rPr>
          <w:rFonts w:ascii="Times New Roman" w:eastAsia="Times New Roman" w:hAnsi="Times New Roman"/>
          <w:sz w:val="21"/>
        </w:rPr>
        <w:t>elkező személyek.</w:t>
      </w:r>
    </w:p>
    <w:p w:rsidR="00000000" w:rsidRDefault="008733A0">
      <w:pPr>
        <w:spacing w:line="2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0" w:lineRule="auto"/>
        <w:ind w:left="382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Nem pályázhatnak azok a személyek, akik a pályázat benyújtásakor még nem vettek részt a doktori</w:t>
      </w:r>
    </w:p>
    <w:p w:rsidR="00000000" w:rsidRDefault="008733A0">
      <w:pPr>
        <w:spacing w:line="5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spacing w:line="250" w:lineRule="auto"/>
        <w:ind w:left="382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(PhD/ DLA vagy azzal egyenértékű) képzésben (azaz beiratkozott doktorandusz hallgatóként még meg </w:t>
      </w:r>
      <w:r>
        <w:rPr>
          <w:rFonts w:ascii="Times New Roman" w:eastAsia="Times New Roman" w:hAnsi="Times New Roman"/>
          <w:sz w:val="22"/>
        </w:rPr>
        <w:t>sem kezdték a doktori képzést).</w:t>
      </w:r>
    </w:p>
    <w:p w:rsidR="00000000" w:rsidRDefault="008733A0">
      <w:pPr>
        <w:spacing w:line="4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0" w:lineRule="auto"/>
        <w:ind w:left="382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Nem pályáz</w:t>
      </w:r>
      <w:r>
        <w:rPr>
          <w:rFonts w:ascii="Times New Roman" w:eastAsia="Times New Roman" w:hAnsi="Times New Roman"/>
          <w:sz w:val="21"/>
        </w:rPr>
        <w:t>hatnak azok a személyek, akik csak a magyarországi felsőoktatási intéz</w:t>
      </w:r>
      <w:r>
        <w:rPr>
          <w:rFonts w:ascii="Times New Roman" w:eastAsia="Times New Roman" w:hAnsi="Times New Roman"/>
          <w:sz w:val="21"/>
        </w:rPr>
        <w:t>mények határon túli</w:t>
      </w:r>
      <w:r>
        <w:rPr>
          <w:rFonts w:ascii="Times New Roman" w:eastAsia="Times New Roman" w:hAnsi="Times New Roman"/>
          <w:sz w:val="21"/>
        </w:rPr>
        <w:t xml:space="preserve"> kihelyezett képzésében folytatnak a fenti feltéteknek megfelelő oktatási tevékenységet.</w:t>
      </w:r>
    </w:p>
    <w:p w:rsidR="00000000" w:rsidRDefault="008733A0">
      <w:pPr>
        <w:spacing w:line="2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0" w:lineRule="auto"/>
        <w:ind w:left="382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Nem pályázhatnak a Magyarországon államilag támogatott doktori képzésben rész</w:t>
      </w:r>
      <w:r>
        <w:rPr>
          <w:rFonts w:ascii="Times New Roman" w:eastAsia="Times New Roman" w:hAnsi="Times New Roman"/>
          <w:sz w:val="19"/>
        </w:rPr>
        <w:t>tvevő személyek.</w:t>
      </w:r>
    </w:p>
    <w:p w:rsidR="00000000" w:rsidRDefault="008733A0">
      <w:pPr>
        <w:spacing w:line="6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208" w:lineRule="auto"/>
        <w:ind w:left="382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Nem részesülhetnek ösztöndíjban azok, akik a 2018/2019-e</w:t>
      </w:r>
      <w:r>
        <w:rPr>
          <w:rFonts w:ascii="Times New Roman" w:eastAsia="Times New Roman" w:hAnsi="Times New Roman"/>
          <w:sz w:val="22"/>
        </w:rPr>
        <w:t>s tanév időtartamára az EMMI és az ELTE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más közös pályázata alapján ún. miniszteri ösztöndíjban vagy a szülőföldi mester (magiszteri, </w:t>
      </w:r>
      <w:r>
        <w:rPr>
          <w:rFonts w:ascii="Times New Roman" w:eastAsia="Times New Roman" w:hAnsi="Times New Roman"/>
          <w:sz w:val="22"/>
        </w:rPr>
        <w:t xml:space="preserve">specialista) vagy doktori képzésükre tanulmányi </w:t>
      </w:r>
      <w:r>
        <w:rPr>
          <w:rFonts w:ascii="Times New Roman" w:eastAsia="Times New Roman" w:hAnsi="Times New Roman"/>
          <w:sz w:val="22"/>
        </w:rPr>
        <w:t xml:space="preserve">támogatásban részesülnek, valamint más nemzetközi egyezményen alapuló, </w:t>
      </w:r>
      <w:r>
        <w:rPr>
          <w:rFonts w:ascii="Times New Roman" w:eastAsia="Times New Roman" w:hAnsi="Times New Roman"/>
          <w:sz w:val="22"/>
        </w:rPr>
        <w:t>vagy más magyar állami ösztöndíjban, támogatásban részesülő személyek.</w:t>
      </w:r>
    </w:p>
    <w:p w:rsidR="00000000" w:rsidRDefault="008733A0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0"/>
          <w:numId w:val="8"/>
        </w:numPr>
        <w:tabs>
          <w:tab w:val="left" w:pos="382"/>
        </w:tabs>
        <w:spacing w:line="182" w:lineRule="auto"/>
        <w:ind w:left="382" w:hanging="367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Nem pályázhatnak az ösztöndíjra azok </w:t>
      </w:r>
      <w:r>
        <w:rPr>
          <w:rFonts w:ascii="Times New Roman" w:eastAsia="Times New Roman" w:hAnsi="Times New Roman"/>
          <w:i/>
          <w:sz w:val="21"/>
        </w:rPr>
        <w:t>a román</w:t>
      </w:r>
      <w:r>
        <w:rPr>
          <w:rFonts w:ascii="Times New Roman" w:eastAsia="Times New Roman" w:hAnsi="Times New Roman"/>
          <w:sz w:val="21"/>
        </w:rPr>
        <w:t xml:space="preserve"> állampolgárságú fiatal oktatók, akik jelen pályázati </w:t>
      </w:r>
      <w:r>
        <w:rPr>
          <w:rFonts w:ascii="Times New Roman" w:eastAsia="Times New Roman" w:hAnsi="Times New Roman"/>
          <w:sz w:val="21"/>
        </w:rPr>
        <w:t>kiírást megelőz</w:t>
      </w:r>
      <w:r>
        <w:rPr>
          <w:rFonts w:ascii="Times New Roman" w:eastAsia="Times New Roman" w:hAnsi="Times New Roman"/>
          <w:sz w:val="21"/>
        </w:rPr>
        <w:t>ő két tanévre vonatkozóan (a 201</w:t>
      </w:r>
      <w:r>
        <w:rPr>
          <w:rFonts w:ascii="Times New Roman" w:eastAsia="Times New Roman" w:hAnsi="Times New Roman"/>
          <w:sz w:val="21"/>
        </w:rPr>
        <w:t>6/2017-es és a 2017/2018-as tanévekre) egyaránt</w:t>
      </w:r>
    </w:p>
    <w:p w:rsidR="00000000" w:rsidRDefault="008733A0">
      <w:pPr>
        <w:tabs>
          <w:tab w:val="left" w:pos="382"/>
        </w:tabs>
        <w:spacing w:line="182" w:lineRule="auto"/>
        <w:ind w:left="382" w:hanging="367"/>
        <w:jc w:val="both"/>
        <w:rPr>
          <w:rFonts w:ascii="Wingdings" w:eastAsia="Wingdings" w:hAnsi="Wingdings"/>
          <w:sz w:val="40"/>
          <w:vertAlign w:val="superscript"/>
        </w:rPr>
        <w:sectPr w:rsidR="00000000">
          <w:pgSz w:w="11900" w:h="16838"/>
          <w:pgMar w:top="702" w:right="1126" w:bottom="174" w:left="1118" w:header="0" w:footer="0" w:gutter="0"/>
          <w:cols w:space="0" w:equalWidth="0">
            <w:col w:w="9662"/>
          </w:cols>
          <w:docGrid w:linePitch="360"/>
        </w:sect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36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</w:p>
    <w:p w:rsidR="00000000" w:rsidRDefault="008733A0">
      <w:pPr>
        <w:spacing w:line="0" w:lineRule="atLeast"/>
        <w:ind w:right="-1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18" w:header="0" w:footer="0" w:gutter="0"/>
          <w:cols w:space="0" w:equalWidth="0">
            <w:col w:w="9662"/>
          </w:cols>
          <w:docGrid w:linePitch="360"/>
        </w:sectPr>
      </w:pPr>
    </w:p>
    <w:p w:rsidR="00000000" w:rsidRDefault="008733A0">
      <w:pPr>
        <w:tabs>
          <w:tab w:val="left" w:pos="3601"/>
          <w:tab w:val="left" w:pos="7401"/>
        </w:tabs>
        <w:spacing w:line="0" w:lineRule="atLeast"/>
        <w:ind w:left="22"/>
        <w:rPr>
          <w:rFonts w:ascii="Times New Roman" w:eastAsia="Times New Roman" w:hAnsi="Times New Roman"/>
        </w:rPr>
      </w:pPr>
      <w:bookmarkStart w:id="3" w:name="page4"/>
      <w:bookmarkEnd w:id="3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58" w:lineRule="auto"/>
        <w:ind w:left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részesültek a fiatal határon túli magyar oktatói ösztöndíjban az EMMI és</w:t>
      </w:r>
      <w:r>
        <w:rPr>
          <w:rFonts w:ascii="Times New Roman" w:eastAsia="Times New Roman" w:hAnsi="Times New Roman"/>
          <w:sz w:val="22"/>
        </w:rPr>
        <w:t xml:space="preserve"> az ELTE (2016</w:t>
      </w:r>
      <w:r>
        <w:rPr>
          <w:rFonts w:ascii="Times New Roman" w:eastAsia="Times New Roman" w:hAnsi="Times New Roman"/>
          <w:sz w:val="22"/>
        </w:rPr>
        <w:t>. év előtt a</w:t>
      </w:r>
      <w:r>
        <w:rPr>
          <w:rFonts w:ascii="Times New Roman" w:eastAsia="Times New Roman" w:hAnsi="Times New Roman"/>
          <w:sz w:val="22"/>
        </w:rPr>
        <w:t xml:space="preserve"> Balassi Intézet) által kiírt pályázatokon.</w:t>
      </w:r>
    </w:p>
    <w:p w:rsidR="00000000" w:rsidRDefault="008733A0">
      <w:pPr>
        <w:spacing w:line="39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További pályázati információk:</w:t>
      </w:r>
    </w:p>
    <w:p w:rsidR="00000000" w:rsidRDefault="008733A0">
      <w:pPr>
        <w:spacing w:line="38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 pályázaton ösztöndíjban részesíthető oktatók száma legfeljebb 100 fő.</w:t>
      </w:r>
    </w:p>
    <w:p w:rsidR="00000000" w:rsidRDefault="008733A0">
      <w:pPr>
        <w:spacing w:line="3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ösztöndíjas keretszám megoszlása az egyes régiók a pályázati feltételeknek me</w:t>
      </w:r>
      <w:r>
        <w:rPr>
          <w:rFonts w:ascii="Times New Roman" w:eastAsia="Times New Roman" w:hAnsi="Times New Roman"/>
          <w:sz w:val="22"/>
        </w:rPr>
        <w:t>gfelelő fiatal oktatói között</w:t>
      </w:r>
    </w:p>
    <w:p w:rsidR="00000000" w:rsidRDefault="008733A0">
      <w:pPr>
        <w:spacing w:line="28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9"/>
        </w:numPr>
        <w:tabs>
          <w:tab w:val="left" w:pos="162"/>
        </w:tabs>
        <w:spacing w:line="0" w:lineRule="atLeast"/>
        <w:ind w:left="162" w:hanging="1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következő:</w:t>
      </w:r>
    </w:p>
    <w:p w:rsidR="00000000" w:rsidRDefault="008733A0">
      <w:pPr>
        <w:numPr>
          <w:ilvl w:val="1"/>
          <w:numId w:val="9"/>
        </w:numPr>
        <w:tabs>
          <w:tab w:val="left" w:pos="442"/>
        </w:tabs>
        <w:spacing w:line="182" w:lineRule="auto"/>
        <w:ind w:left="442" w:hanging="285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i/>
          <w:sz w:val="19"/>
        </w:rPr>
        <w:t xml:space="preserve">román </w:t>
      </w:r>
      <w:r>
        <w:rPr>
          <w:rFonts w:ascii="Times New Roman" w:eastAsia="Times New Roman" w:hAnsi="Times New Roman"/>
          <w:sz w:val="19"/>
        </w:rPr>
        <w:t>állampolgárságú fiatal oktatók részére 34 ösztöndíj (17.000.000,- Ft összegben)</w:t>
      </w:r>
      <w:r>
        <w:rPr>
          <w:rFonts w:ascii="Times New Roman" w:eastAsia="Times New Roman" w:hAnsi="Times New Roman"/>
          <w:sz w:val="19"/>
        </w:rPr>
        <w:t>, ebből</w:t>
      </w:r>
    </w:p>
    <w:p w:rsidR="00000000" w:rsidRDefault="008733A0">
      <w:pPr>
        <w:spacing w:line="59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2"/>
          <w:numId w:val="9"/>
        </w:numPr>
        <w:tabs>
          <w:tab w:val="left" w:pos="722"/>
        </w:tabs>
        <w:spacing w:line="221" w:lineRule="auto"/>
        <w:ind w:left="722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 ösztöndíj (10.000.000,- Ft összegben)</w:t>
      </w:r>
    </w:p>
    <w:p w:rsidR="00000000" w:rsidRDefault="008733A0">
      <w:pPr>
        <w:spacing w:line="42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3"/>
          <w:numId w:val="9"/>
        </w:numPr>
        <w:tabs>
          <w:tab w:val="left" w:pos="1213"/>
        </w:tabs>
        <w:spacing w:line="255" w:lineRule="auto"/>
        <w:ind w:left="1002" w:right="20" w:firstLine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gazdasági (közgazdaságtan, pénzügy, könyvelés, gazdasági informatika, keresk</w:t>
      </w:r>
      <w:r>
        <w:rPr>
          <w:rFonts w:ascii="Times New Roman" w:eastAsia="Times New Roman" w:hAnsi="Times New Roman"/>
          <w:sz w:val="22"/>
        </w:rPr>
        <w:t>edelem, menedzsment, marketing);</w:t>
      </w:r>
    </w:p>
    <w:p w:rsidR="00000000" w:rsidRDefault="008733A0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3"/>
          <w:numId w:val="9"/>
        </w:numPr>
        <w:tabs>
          <w:tab w:val="left" w:pos="1142"/>
        </w:tabs>
        <w:spacing w:line="0" w:lineRule="atLeast"/>
        <w:ind w:left="1142" w:hanging="13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informatikai;</w:t>
      </w:r>
    </w:p>
    <w:p w:rsidR="00000000" w:rsidRDefault="008733A0">
      <w:pPr>
        <w:spacing w:line="41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3"/>
          <w:numId w:val="9"/>
        </w:numPr>
        <w:tabs>
          <w:tab w:val="left" w:pos="1184"/>
        </w:tabs>
        <w:spacing w:line="264" w:lineRule="auto"/>
        <w:ind w:left="1002" w:firstLine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műszaki (számítástechnika, vegyészmérnök, építőmérnök, villamosmérnök, anyagm</w:t>
      </w:r>
      <w:r>
        <w:rPr>
          <w:rFonts w:ascii="Times New Roman" w:eastAsia="Times New Roman" w:hAnsi="Times New Roman"/>
          <w:sz w:val="22"/>
        </w:rPr>
        <w:t>érnök,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gépészmérnök, környezetmérnök, rendszermérnök, mérnöki menedzsment, villamosmérnök, élelmiszer-ipari mérnök, mechatron</w:t>
      </w:r>
      <w:r>
        <w:rPr>
          <w:rFonts w:ascii="Times New Roman" w:eastAsia="Times New Roman" w:hAnsi="Times New Roman"/>
          <w:sz w:val="22"/>
        </w:rPr>
        <w:t>ika, alkalmazott mérnöki tudományok, kertészmérnök, biotechnológiák);</w:t>
      </w:r>
    </w:p>
    <w:p w:rsidR="00000000" w:rsidRDefault="008733A0">
      <w:pPr>
        <w:spacing w:line="5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3"/>
          <w:numId w:val="9"/>
        </w:numPr>
        <w:tabs>
          <w:tab w:val="left" w:pos="1142"/>
        </w:tabs>
        <w:spacing w:line="0" w:lineRule="atLeast"/>
        <w:ind w:left="1142" w:hanging="13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orvos és gyógyszerészeti</w:t>
      </w:r>
    </w:p>
    <w:p w:rsidR="00000000" w:rsidRDefault="008733A0">
      <w:pPr>
        <w:spacing w:line="4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7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képzési területen dolgozó fiatal oktatók részére; valamint</w:t>
      </w:r>
    </w:p>
    <w:p w:rsidR="00000000" w:rsidRDefault="008733A0">
      <w:pPr>
        <w:spacing w:line="51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0"/>
        </w:numPr>
        <w:tabs>
          <w:tab w:val="left" w:pos="722"/>
        </w:tabs>
        <w:spacing w:line="257" w:lineRule="auto"/>
        <w:ind w:left="722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14 ösztöndíj minden más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az a) pontban nem felsorolt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képzési területen dolgozó fiatal oktató </w:t>
      </w:r>
      <w:r>
        <w:rPr>
          <w:rFonts w:ascii="Times New Roman" w:eastAsia="Times New Roman" w:hAnsi="Times New Roman"/>
          <w:sz w:val="22"/>
        </w:rPr>
        <w:t>részére.</w:t>
      </w:r>
    </w:p>
    <w:p w:rsidR="00000000" w:rsidRDefault="008733A0">
      <w:pPr>
        <w:spacing w:line="2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2" w:lineRule="auto"/>
        <w:ind w:left="44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Amennyiben az a) vagy a b) pontok valamelyikében meghatározott képzési területcsoportban </w:t>
      </w:r>
      <w:r>
        <w:rPr>
          <w:rFonts w:ascii="Times New Roman" w:eastAsia="Times New Roman" w:hAnsi="Times New Roman"/>
          <w:sz w:val="22"/>
        </w:rPr>
        <w:t>megítélendő ösztöndíjak száma n</w:t>
      </w:r>
      <w:r>
        <w:rPr>
          <w:rFonts w:ascii="Times New Roman" w:eastAsia="Times New Roman" w:hAnsi="Times New Roman"/>
          <w:sz w:val="22"/>
        </w:rPr>
        <w:t>em éri el a fent</w:t>
      </w:r>
      <w:r>
        <w:rPr>
          <w:rFonts w:ascii="Times New Roman" w:eastAsia="Times New Roman" w:hAnsi="Times New Roman"/>
          <w:sz w:val="22"/>
        </w:rPr>
        <w:t xml:space="preserve"> előirányzott </w:t>
      </w:r>
      <w:r>
        <w:rPr>
          <w:rFonts w:ascii="Times New Roman" w:eastAsia="Times New Roman" w:hAnsi="Times New Roman"/>
          <w:sz w:val="22"/>
        </w:rPr>
        <w:t>ösztöndíjak számát, akkor a fennmaradó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ösztöndíjak átcsoportosíthatóak a másik képzési területcs</w:t>
      </w:r>
      <w:r>
        <w:rPr>
          <w:rFonts w:ascii="Times New Roman" w:eastAsia="Times New Roman" w:hAnsi="Times New Roman"/>
          <w:sz w:val="22"/>
        </w:rPr>
        <w:t>oportba;</w:t>
      </w:r>
    </w:p>
    <w:p w:rsidR="00000000" w:rsidRDefault="008733A0">
      <w:pPr>
        <w:numPr>
          <w:ilvl w:val="0"/>
          <w:numId w:val="11"/>
        </w:numPr>
        <w:tabs>
          <w:tab w:val="left" w:pos="442"/>
        </w:tabs>
        <w:spacing w:line="182" w:lineRule="auto"/>
        <w:ind w:left="442" w:hanging="285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i/>
          <w:sz w:val="18"/>
        </w:rPr>
        <w:t xml:space="preserve">szerb </w:t>
      </w:r>
      <w:r>
        <w:rPr>
          <w:rFonts w:ascii="Times New Roman" w:eastAsia="Times New Roman" w:hAnsi="Times New Roman"/>
          <w:sz w:val="18"/>
        </w:rPr>
        <w:t>állampolgárságú fiatal oktatók részére 22 ösztöndíj (11.000.000,- Ft összegben);</w:t>
      </w:r>
    </w:p>
    <w:p w:rsidR="00000000" w:rsidRDefault="008733A0">
      <w:pPr>
        <w:spacing w:line="62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8733A0">
      <w:pPr>
        <w:numPr>
          <w:ilvl w:val="0"/>
          <w:numId w:val="11"/>
        </w:numPr>
        <w:tabs>
          <w:tab w:val="left" w:pos="442"/>
        </w:tabs>
        <w:spacing w:line="180" w:lineRule="auto"/>
        <w:ind w:left="442" w:hanging="285"/>
        <w:rPr>
          <w:rFonts w:ascii="Wingdings" w:eastAsia="Wingdings" w:hAnsi="Wingdings"/>
          <w:sz w:val="28"/>
          <w:vertAlign w:val="superscript"/>
        </w:rPr>
      </w:pPr>
      <w:r>
        <w:rPr>
          <w:rFonts w:ascii="Times New Roman" w:eastAsia="Times New Roman" w:hAnsi="Times New Roman"/>
          <w:i/>
          <w:sz w:val="17"/>
        </w:rPr>
        <w:t xml:space="preserve">szlovák </w:t>
      </w:r>
      <w:r>
        <w:rPr>
          <w:rFonts w:ascii="Times New Roman" w:eastAsia="Times New Roman" w:hAnsi="Times New Roman"/>
          <w:sz w:val="17"/>
        </w:rPr>
        <w:t>állampolgárságú fiatal oktatók részére 22 ösztöndíj (11.000.000,- Ft összegben);</w:t>
      </w:r>
    </w:p>
    <w:p w:rsidR="00000000" w:rsidRDefault="008733A0">
      <w:pPr>
        <w:spacing w:line="59" w:lineRule="exact"/>
        <w:rPr>
          <w:rFonts w:ascii="Wingdings" w:eastAsia="Wingdings" w:hAnsi="Wingdings"/>
          <w:sz w:val="28"/>
          <w:vertAlign w:val="superscript"/>
        </w:rPr>
      </w:pPr>
    </w:p>
    <w:p w:rsidR="00000000" w:rsidRDefault="008733A0">
      <w:pPr>
        <w:numPr>
          <w:ilvl w:val="0"/>
          <w:numId w:val="11"/>
        </w:numPr>
        <w:tabs>
          <w:tab w:val="left" w:pos="442"/>
        </w:tabs>
        <w:spacing w:line="180" w:lineRule="auto"/>
        <w:ind w:left="442" w:hanging="285"/>
        <w:rPr>
          <w:rFonts w:ascii="Wingdings" w:eastAsia="Wingdings" w:hAnsi="Wingdings"/>
          <w:sz w:val="28"/>
          <w:vertAlign w:val="superscript"/>
        </w:rPr>
      </w:pPr>
      <w:r>
        <w:rPr>
          <w:rFonts w:ascii="Times New Roman" w:eastAsia="Times New Roman" w:hAnsi="Times New Roman"/>
          <w:i/>
          <w:sz w:val="17"/>
        </w:rPr>
        <w:t xml:space="preserve">ukrán </w:t>
      </w:r>
      <w:r>
        <w:rPr>
          <w:rFonts w:ascii="Times New Roman" w:eastAsia="Times New Roman" w:hAnsi="Times New Roman"/>
          <w:sz w:val="17"/>
        </w:rPr>
        <w:t>állampolgárságú fiatal oktatók részére 22 ösztöndíj (11.000.000</w:t>
      </w:r>
      <w:r>
        <w:rPr>
          <w:rFonts w:ascii="Times New Roman" w:eastAsia="Times New Roman" w:hAnsi="Times New Roman"/>
          <w:sz w:val="17"/>
        </w:rPr>
        <w:t>,- Ft összegben).</w:t>
      </w: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2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2" w:lineRule="auto"/>
        <w:ind w:left="2"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Amennyiben az elbírálás során a megítélendő ösztöndíjak száma nem éri el az adott régióra előirányzott </w:t>
      </w:r>
      <w:r>
        <w:rPr>
          <w:rFonts w:ascii="Times New Roman" w:eastAsia="Times New Roman" w:hAnsi="Times New Roman"/>
          <w:sz w:val="22"/>
        </w:rPr>
        <w:t>terve</w:t>
      </w:r>
      <w:r>
        <w:rPr>
          <w:rFonts w:ascii="Times New Roman" w:eastAsia="Times New Roman" w:hAnsi="Times New Roman"/>
          <w:sz w:val="22"/>
        </w:rPr>
        <w:t>zett keret mértékét, akkor az Értékelő Bizottság javaslata alapján a fennmaradó ösztöndíjak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átcsoportosíthatók más a jelen pályá</w:t>
      </w:r>
      <w:r>
        <w:rPr>
          <w:rFonts w:ascii="Times New Roman" w:eastAsia="Times New Roman" w:hAnsi="Times New Roman"/>
          <w:sz w:val="22"/>
        </w:rPr>
        <w:t>zatban szereplő régió(k) ösztöndíjas keretszámához.</w:t>
      </w:r>
    </w:p>
    <w:p w:rsidR="00000000" w:rsidRDefault="008733A0">
      <w:pPr>
        <w:spacing w:line="38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0" w:lineRule="auto"/>
        <w:ind w:left="2" w:hanging="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Az ösztöndíj a 2018/2019-es tanév 10 hónapjára szól. A támogatás havi összege személyenként 50.000,-Ft/hó, azaz ötvenezer forint (összesen 500.000-Ft/tanév, azaz ötszázezer forint a tanév egészére).</w:t>
      </w:r>
    </w:p>
    <w:p w:rsidR="00000000" w:rsidRDefault="008733A0">
      <w:pPr>
        <w:spacing w:line="396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0" w:lineRule="auto"/>
        <w:ind w:left="2" w:hanging="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 r</w:t>
      </w:r>
      <w:r>
        <w:rPr>
          <w:rFonts w:ascii="Times New Roman" w:eastAsia="Times New Roman" w:hAnsi="Times New Roman"/>
          <w:b/>
          <w:sz w:val="22"/>
        </w:rPr>
        <w:t xml:space="preserve">egionális Előértékelő Bizottságok a beérkezett és érvényes pályázatokat az előértékelés során az </w:t>
      </w:r>
      <w:r>
        <w:rPr>
          <w:rFonts w:ascii="Times New Roman" w:eastAsia="Times New Roman" w:hAnsi="Times New Roman"/>
          <w:b/>
          <w:sz w:val="22"/>
        </w:rPr>
        <w:t>alábbiak alapján rangsorolják: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2"/>
        </w:numPr>
        <w:tabs>
          <w:tab w:val="left" w:pos="442"/>
        </w:tabs>
        <w:spacing w:line="264" w:lineRule="auto"/>
        <w:ind w:left="442" w:hanging="28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Kiemelt előnyben kell részesíteni azon pályázókat, akik rendelkeznek doktori (PhD/DLA vagy ezzel egyenértékű) tudományos fokoza</w:t>
      </w:r>
      <w:r>
        <w:rPr>
          <w:rFonts w:ascii="Times New Roman" w:eastAsia="Times New Roman" w:hAnsi="Times New Roman"/>
          <w:sz w:val="22"/>
        </w:rPr>
        <w:t>ttal (szerb állampolgárságú magyar nemzetiségű jelentkezők esetén elsődlegesen a PhD/DLA vagy ezzel egyenértékű fokozattal rendelkező pályázók részesülnek kiemelt előnyben, másodlagosan a magiszteri fokozattal rendelkező pályázók részesülnek kiemelt elő</w:t>
      </w:r>
      <w:r>
        <w:rPr>
          <w:rFonts w:ascii="Times New Roman" w:eastAsia="Times New Roman" w:hAnsi="Times New Roman"/>
          <w:sz w:val="22"/>
        </w:rPr>
        <w:t>nyb</w:t>
      </w:r>
      <w:r>
        <w:rPr>
          <w:rFonts w:ascii="Times New Roman" w:eastAsia="Times New Roman" w:hAnsi="Times New Roman"/>
          <w:sz w:val="22"/>
        </w:rPr>
        <w:t>en).</w:t>
      </w:r>
    </w:p>
    <w:p w:rsidR="00000000" w:rsidRDefault="008733A0">
      <w:pPr>
        <w:spacing w:line="26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264" w:lineRule="auto"/>
        <w:ind w:left="44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Ez alapján azon pályázók, akik nem rendelkeznek doktori fokozattal (szerb állampolgárságú magyar </w:t>
      </w:r>
      <w:r>
        <w:rPr>
          <w:rFonts w:ascii="Times New Roman" w:eastAsia="Times New Roman" w:hAnsi="Times New Roman"/>
          <w:sz w:val="22"/>
        </w:rPr>
        <w:t xml:space="preserve">nemzetiségű jelentkezők esetén nem rendelkeznek elsődlegesen PhD/DLA, másodlagosan magiszteri </w:t>
      </w:r>
      <w:r>
        <w:rPr>
          <w:rFonts w:ascii="Times New Roman" w:eastAsia="Times New Roman" w:hAnsi="Times New Roman"/>
          <w:sz w:val="22"/>
        </w:rPr>
        <w:t>fokozattal), csak abban az esetben kaphatnak ösztöndíjat</w:t>
      </w:r>
      <w:r>
        <w:rPr>
          <w:rFonts w:ascii="Times New Roman" w:eastAsia="Times New Roman" w:hAnsi="Times New Roman"/>
          <w:sz w:val="22"/>
        </w:rPr>
        <w:t>, h</w:t>
      </w:r>
      <w:r>
        <w:rPr>
          <w:rFonts w:ascii="Times New Roman" w:eastAsia="Times New Roman" w:hAnsi="Times New Roman"/>
          <w:sz w:val="22"/>
        </w:rPr>
        <w:t>a az adott régióban az Értékelő Bizottság</w:t>
      </w:r>
      <w:r>
        <w:rPr>
          <w:rFonts w:ascii="Times New Roman" w:eastAsia="Times New Roman" w:hAnsi="Times New Roman"/>
          <w:sz w:val="22"/>
        </w:rPr>
        <w:t xml:space="preserve"> által meghatározott regionális ösztöndíjas keretszámot nem töltik fel a doktori fokozattal (szerb</w:t>
      </w:r>
    </w:p>
    <w:p w:rsidR="00000000" w:rsidRDefault="008733A0">
      <w:pPr>
        <w:spacing w:line="17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257" w:lineRule="auto"/>
        <w:ind w:left="442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állampolgárságú magyar nemzetiségű pályázók esetén elsődlegesen doktori, másodlagosan magiszteri </w:t>
      </w:r>
      <w:r>
        <w:rPr>
          <w:rFonts w:ascii="Times New Roman" w:eastAsia="Times New Roman" w:hAnsi="Times New Roman"/>
          <w:sz w:val="22"/>
        </w:rPr>
        <w:t>fokozattal) rend</w:t>
      </w:r>
      <w:r>
        <w:rPr>
          <w:rFonts w:ascii="Times New Roman" w:eastAsia="Times New Roman" w:hAnsi="Times New Roman"/>
          <w:sz w:val="22"/>
        </w:rPr>
        <w:t>el</w:t>
      </w:r>
      <w:r>
        <w:rPr>
          <w:rFonts w:ascii="Times New Roman" w:eastAsia="Times New Roman" w:hAnsi="Times New Roman"/>
          <w:sz w:val="22"/>
        </w:rPr>
        <w:t>kező pályázók.</w:t>
      </w:r>
    </w:p>
    <w:p w:rsidR="00000000" w:rsidRDefault="008733A0">
      <w:pPr>
        <w:spacing w:line="257" w:lineRule="auto"/>
        <w:ind w:left="442" w:right="20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18" w:header="0" w:footer="0" w:gutter="0"/>
          <w:cols w:space="0" w:equalWidth="0">
            <w:col w:w="9662"/>
          </w:cols>
          <w:docGrid w:linePitch="360"/>
        </w:sect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9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</w:p>
    <w:p w:rsidR="00000000" w:rsidRDefault="008733A0">
      <w:pPr>
        <w:spacing w:line="0" w:lineRule="atLeast"/>
        <w:ind w:right="-1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18" w:header="0" w:footer="0" w:gutter="0"/>
          <w:cols w:space="0" w:equalWidth="0">
            <w:col w:w="9662"/>
          </w:cols>
          <w:docGrid w:linePitch="360"/>
        </w:sectPr>
      </w:pPr>
    </w:p>
    <w:p w:rsidR="00000000" w:rsidRDefault="008733A0">
      <w:pPr>
        <w:tabs>
          <w:tab w:val="left" w:pos="3600"/>
          <w:tab w:val="left" w:pos="740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4" w:name="page5"/>
      <w:bookmarkEnd w:id="4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7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3"/>
        </w:numPr>
        <w:tabs>
          <w:tab w:val="left" w:pos="440"/>
        </w:tabs>
        <w:spacing w:line="263" w:lineRule="auto"/>
        <w:ind w:left="440" w:hanging="28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pályázók szükség szerinti további rangsorolására a regionális Előértékelő Bizottságok egyedi </w:t>
      </w:r>
      <w:r>
        <w:rPr>
          <w:rFonts w:ascii="Times New Roman" w:eastAsia="Times New Roman" w:hAnsi="Times New Roman"/>
          <w:sz w:val="22"/>
        </w:rPr>
        <w:t xml:space="preserve">döntéssel tesznek javaslatot </w:t>
      </w:r>
      <w:r>
        <w:rPr>
          <w:rFonts w:ascii="Times New Roman" w:eastAsia="Times New Roman" w:hAnsi="Times New Roman"/>
          <w:sz w:val="22"/>
        </w:rPr>
        <w:t xml:space="preserve">– az adott </w:t>
      </w:r>
      <w:r>
        <w:rPr>
          <w:rFonts w:ascii="Times New Roman" w:eastAsia="Times New Roman" w:hAnsi="Times New Roman"/>
          <w:sz w:val="22"/>
        </w:rPr>
        <w:t xml:space="preserve">régió magyar közösségi céljainak megfelelően </w:t>
      </w:r>
      <w:r>
        <w:rPr>
          <w:rFonts w:ascii="Times New Roman" w:eastAsia="Times New Roman" w:hAnsi="Times New Roman"/>
          <w:sz w:val="22"/>
        </w:rPr>
        <w:t>– a következő</w:t>
      </w:r>
      <w:r>
        <w:rPr>
          <w:rFonts w:ascii="Times New Roman" w:eastAsia="Times New Roman" w:hAnsi="Times New Roman"/>
          <w:sz w:val="22"/>
        </w:rPr>
        <w:t xml:space="preserve"> szempontok figyelembe vételével:</w:t>
      </w:r>
    </w:p>
    <w:p w:rsidR="00000000" w:rsidRDefault="008733A0">
      <w:pPr>
        <w:spacing w:line="27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63" w:lineRule="auto"/>
        <w:ind w:left="86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felsőokt</w:t>
      </w:r>
      <w:r>
        <w:rPr>
          <w:rFonts w:ascii="Times New Roman" w:eastAsia="Times New Roman" w:hAnsi="Times New Roman"/>
          <w:sz w:val="22"/>
        </w:rPr>
        <w:t>atási képzés (szak)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melyen a pályázó az oktatási tevékenységét végzi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tudományterületi besorolása, illetve szerepe, fontossága a régió magyar értelmis</w:t>
      </w:r>
      <w:r>
        <w:rPr>
          <w:rFonts w:ascii="Times New Roman" w:eastAsia="Times New Roman" w:hAnsi="Times New Roman"/>
          <w:sz w:val="22"/>
        </w:rPr>
        <w:t>égi utánpótlásának biztosításában;</w:t>
      </w:r>
    </w:p>
    <w:p w:rsidR="00000000" w:rsidRDefault="008733A0">
      <w:pPr>
        <w:spacing w:line="27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57" w:lineRule="auto"/>
        <w:ind w:left="860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magyar nyelven oktatott tantárgy(ak), kurzusok, órarenden kívüli foglalkozások témája, óraszáma, gyakorisága;</w:t>
      </w:r>
    </w:p>
    <w:p w:rsidR="00000000" w:rsidRDefault="008733A0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62" w:lineRule="auto"/>
        <w:ind w:left="86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pályázónak a felsőoktatási intézményben betöltött vezető beosztása, egyetemi/főiskolai fokozata (pl. adju</w:t>
      </w:r>
      <w:r>
        <w:rPr>
          <w:rFonts w:ascii="Times New Roman" w:eastAsia="Times New Roman" w:hAnsi="Times New Roman"/>
          <w:sz w:val="22"/>
        </w:rPr>
        <w:t>nktus, docens stb.), várható tudományos/felsőoktatási előmenetele (pl. mikor szerez tudományos/felsőokt</w:t>
      </w:r>
      <w:r>
        <w:rPr>
          <w:rFonts w:ascii="Times New Roman" w:eastAsia="Times New Roman" w:hAnsi="Times New Roman"/>
          <w:sz w:val="22"/>
        </w:rPr>
        <w:t>atási fokozatot);</w:t>
      </w:r>
    </w:p>
    <w:p w:rsidR="00000000" w:rsidRDefault="008733A0">
      <w:pPr>
        <w:spacing w:line="30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62" w:lineRule="auto"/>
        <w:ind w:left="86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pályázó tudományos tevékenysége (ide értve a felsőoktatási tankönyv</w:t>
      </w:r>
      <w:r>
        <w:rPr>
          <w:rFonts w:ascii="Times New Roman" w:eastAsia="Times New Roman" w:hAnsi="Times New Roman"/>
          <w:sz w:val="22"/>
        </w:rPr>
        <w:t>- és jegyzetírást és</w:t>
      </w:r>
      <w:r>
        <w:rPr>
          <w:rFonts w:ascii="Times New Roman" w:eastAsia="Times New Roman" w:hAnsi="Times New Roman"/>
          <w:sz w:val="22"/>
        </w:rPr>
        <w:t xml:space="preserve"> szerkesztést, más oktatási segédletek elkész</w:t>
      </w:r>
      <w:r>
        <w:rPr>
          <w:rFonts w:ascii="Times New Roman" w:eastAsia="Times New Roman" w:hAnsi="Times New Roman"/>
          <w:sz w:val="22"/>
        </w:rPr>
        <w:t xml:space="preserve">ítését, a kiemelkedő tudományos publikációkat, a </w:t>
      </w:r>
      <w:r>
        <w:rPr>
          <w:rFonts w:ascii="Times New Roman" w:eastAsia="Times New Roman" w:hAnsi="Times New Roman"/>
          <w:sz w:val="22"/>
        </w:rPr>
        <w:t>tudományos/kutató intézetekben folytatott munkát stb.);</w:t>
      </w:r>
    </w:p>
    <w:p w:rsidR="00000000" w:rsidRDefault="008733A0">
      <w:pPr>
        <w:spacing w:line="28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57" w:lineRule="auto"/>
        <w:ind w:left="860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pályázónál, mint konzulensnél a 2016/2017-es és a 2017/2018-as tanévben szakdolgozó és sikeresen diplomát szerzett hallgatók száma;</w:t>
      </w:r>
    </w:p>
    <w:p w:rsidR="00000000" w:rsidRDefault="008733A0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63" w:lineRule="auto"/>
        <w:ind w:left="86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pályázó órare</w:t>
      </w:r>
      <w:r>
        <w:rPr>
          <w:rFonts w:ascii="Times New Roman" w:eastAsia="Times New Roman" w:hAnsi="Times New Roman"/>
          <w:sz w:val="22"/>
        </w:rPr>
        <w:t>nden kívüli oktatási tevékenysége (pl. szakkollégiumban végzett tutoriális munka, a pályázó által az elmúlt két /a 2016/2017-es és a 2017/2018-as/ tanévben a tudományos diákköri konferenciá(k)ra felkészített hallgatók száma és a hallgatóknak az ott elért e</w:t>
      </w:r>
      <w:r>
        <w:rPr>
          <w:rFonts w:ascii="Times New Roman" w:eastAsia="Times New Roman" w:hAnsi="Times New Roman"/>
          <w:sz w:val="22"/>
        </w:rPr>
        <w:t>redménye stb.);</w:t>
      </w:r>
    </w:p>
    <w:p w:rsidR="00000000" w:rsidRDefault="008733A0">
      <w:pPr>
        <w:spacing w:line="27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57" w:lineRule="auto"/>
        <w:ind w:left="860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pályázó ún. közösségi tevékenysége (pl. felsőoktatási közösségi, hallgatói rendezvén</w:t>
      </w:r>
      <w:r>
        <w:rPr>
          <w:rFonts w:ascii="Times New Roman" w:eastAsia="Times New Roman" w:hAnsi="Times New Roman"/>
          <w:sz w:val="22"/>
        </w:rPr>
        <w:t>yek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szervezése, részvétel, szerepvállalás oktatás-szakmai és oktatáspolitikai testületekben stb.);</w:t>
      </w:r>
    </w:p>
    <w:p w:rsidR="00000000" w:rsidRDefault="008733A0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1"/>
          <w:numId w:val="13"/>
        </w:numPr>
        <w:tabs>
          <w:tab w:val="left" w:pos="860"/>
        </w:tabs>
        <w:spacing w:line="257" w:lineRule="auto"/>
        <w:ind w:left="860" w:hanging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más, a regionális Előértékelő Bizottság által fontosn</w:t>
      </w:r>
      <w:r>
        <w:rPr>
          <w:rFonts w:ascii="Times New Roman" w:eastAsia="Times New Roman" w:hAnsi="Times New Roman"/>
          <w:sz w:val="22"/>
        </w:rPr>
        <w:t>ak ítélt szempontok (pl. a regionális Előértékelő Bizottság az ülésén az előértékeléshez értékelési pon</w:t>
      </w:r>
      <w:r>
        <w:rPr>
          <w:rFonts w:ascii="Times New Roman" w:eastAsia="Times New Roman" w:hAnsi="Times New Roman"/>
          <w:sz w:val="22"/>
        </w:rPr>
        <w:t>trendszert fogadhat el stb.).</w:t>
      </w:r>
    </w:p>
    <w:p w:rsidR="00000000" w:rsidRDefault="008733A0">
      <w:pPr>
        <w:spacing w:line="38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pályázat benyújtásának határideje és módja:</w:t>
      </w:r>
    </w:p>
    <w:p w:rsidR="00000000" w:rsidRDefault="008733A0">
      <w:pPr>
        <w:spacing w:line="368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4"/>
        </w:numPr>
        <w:tabs>
          <w:tab w:val="left" w:pos="440"/>
        </w:tabs>
        <w:spacing w:line="0" w:lineRule="atLeast"/>
        <w:ind w:left="440" w:hanging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Pályázni a </w:t>
      </w:r>
      <w:r>
        <w:rPr>
          <w:rFonts w:ascii="Times New Roman" w:eastAsia="Times New Roman" w:hAnsi="Times New Roman"/>
          <w:b/>
          <w:u w:val="single"/>
        </w:rPr>
        <w:t>martonaron.elte.hu oldalon lehet a pályázatnak és a kategóriának</w:t>
      </w:r>
      <w:r>
        <w:rPr>
          <w:rFonts w:ascii="Times New Roman" w:eastAsia="Times New Roman" w:hAnsi="Times New Roman"/>
          <w:b/>
          <w:u w:val="single"/>
        </w:rPr>
        <w:t xml:space="preserve"> megfelelő pályázati adatlapon</w:t>
      </w:r>
    </w:p>
    <w:p w:rsidR="00000000" w:rsidRDefault="008733A0">
      <w:pPr>
        <w:spacing w:line="2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(</w:t>
      </w:r>
      <w:r>
        <w:rPr>
          <w:rFonts w:ascii="Times New Roman" w:eastAsia="Times New Roman" w:hAnsi="Times New Roman"/>
        </w:rPr>
        <w:t>Amennyiben valamely pályázó két pályázati kategóriában is benyújt pályázatot, ez esetben a pályázónak mindkét</w:t>
      </w:r>
    </w:p>
    <w:p w:rsidR="00000000" w:rsidRDefault="008733A0">
      <w:pPr>
        <w:spacing w:line="2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az egyes pályázati kategóriákra vonatkozó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adatlapot be kell nyújtania!;</w:t>
      </w:r>
    </w:p>
    <w:p w:rsidR="00000000" w:rsidRDefault="008733A0">
      <w:pPr>
        <w:spacing w:line="47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4"/>
        </w:numPr>
        <w:tabs>
          <w:tab w:val="left" w:pos="440"/>
        </w:tabs>
        <w:spacing w:line="269" w:lineRule="auto"/>
        <w:ind w:left="440" w:hanging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Az adatlap kitöltését követően a re</w:t>
      </w:r>
      <w:r>
        <w:rPr>
          <w:rFonts w:ascii="Times New Roman" w:eastAsia="Times New Roman" w:hAnsi="Times New Roman"/>
          <w:b/>
          <w:u w:val="single"/>
        </w:rPr>
        <w:t>ndszer a pályázó adatait tartalmaz</w:t>
      </w:r>
      <w:r>
        <w:rPr>
          <w:rFonts w:ascii="Times New Roman" w:eastAsia="Times New Roman" w:hAnsi="Times New Roman"/>
          <w:b/>
          <w:u w:val="single"/>
        </w:rPr>
        <w:t>ó PDF típusú dokumentumot (file)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készít;</w:t>
      </w:r>
    </w:p>
    <w:p w:rsidR="00000000" w:rsidRDefault="008733A0">
      <w:pPr>
        <w:spacing w:line="19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4"/>
        </w:numPr>
        <w:tabs>
          <w:tab w:val="left" w:pos="440"/>
        </w:tabs>
        <w:spacing w:line="252" w:lineRule="auto"/>
        <w:ind w:left="44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 xml:space="preserve">A pályázat csak akkor érvényes, </w:t>
      </w:r>
      <w:r>
        <w:rPr>
          <w:rFonts w:ascii="Times New Roman" w:eastAsia="Times New Roman" w:hAnsi="Times New Roman"/>
          <w:u w:val="single"/>
        </w:rPr>
        <w:t>ha a pályázó a PDF file-t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kinyomtatva és saját kezűleg aláírva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postai úton,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vagy személyesen benyújtja a kötelezően csatolandó mellékletekkel együtt</w:t>
      </w:r>
      <w:r>
        <w:rPr>
          <w:rFonts w:ascii="Times New Roman" w:eastAsia="Times New Roman" w:hAnsi="Times New Roman"/>
          <w:u w:val="single"/>
        </w:rPr>
        <w:t xml:space="preserve"> a megadott határidőig a megjelölt elérhetőségen.</w:t>
      </w:r>
    </w:p>
    <w:p w:rsidR="00000000" w:rsidRDefault="008733A0">
      <w:pPr>
        <w:spacing w:line="28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pályázatok beadásának határideje:</w:t>
      </w:r>
    </w:p>
    <w:p w:rsidR="00000000" w:rsidRDefault="008733A0">
      <w:pPr>
        <w:spacing w:line="33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pályázatok beadásának és postai beérkezésének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– (nem a postabélyegző dátumának)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határideje:</w:t>
      </w:r>
    </w:p>
    <w:p w:rsidR="00000000" w:rsidRDefault="008733A0">
      <w:pPr>
        <w:spacing w:line="253" w:lineRule="exact"/>
        <w:rPr>
          <w:rFonts w:ascii="Times New Roman" w:eastAsia="Times New Roman" w:hAnsi="Times New Roman"/>
        </w:rPr>
      </w:pPr>
    </w:p>
    <w:p w:rsidR="00000000" w:rsidRDefault="008733A0">
      <w:pPr>
        <w:tabs>
          <w:tab w:val="left" w:pos="9080"/>
        </w:tabs>
        <w:spacing w:line="0" w:lineRule="atLeast"/>
        <w:ind w:left="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- 2019. január 14, 23.59 óra (közép-</w:t>
      </w:r>
      <w:r>
        <w:rPr>
          <w:rFonts w:ascii="Times New Roman" w:eastAsia="Times New Roman" w:hAnsi="Times New Roman"/>
          <w:b/>
          <w:sz w:val="22"/>
          <w:u w:val="single"/>
        </w:rPr>
        <w:t>európai idő /CET/ szerint): elektro</w:t>
      </w:r>
      <w:r>
        <w:rPr>
          <w:rFonts w:ascii="Times New Roman" w:eastAsia="Times New Roman" w:hAnsi="Times New Roman"/>
          <w:b/>
          <w:sz w:val="22"/>
          <w:u w:val="single"/>
        </w:rPr>
        <w:t>nikus adatlap benyújtása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  <w:u w:val="single"/>
        </w:rPr>
        <w:t>és</w:t>
      </w:r>
    </w:p>
    <w:p w:rsidR="00000000" w:rsidRDefault="008733A0">
      <w:pPr>
        <w:spacing w:line="265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5"/>
        </w:numPr>
        <w:tabs>
          <w:tab w:val="left" w:pos="150"/>
        </w:tabs>
        <w:spacing w:line="250" w:lineRule="auto"/>
        <w:ind w:left="20" w:right="200" w:hanging="7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2019. január 15., 15.00 óra (közép-</w:t>
      </w:r>
      <w:r>
        <w:rPr>
          <w:rFonts w:ascii="Times New Roman" w:eastAsia="Times New Roman" w:hAnsi="Times New Roman"/>
          <w:b/>
          <w:sz w:val="21"/>
          <w:u w:val="single"/>
        </w:rPr>
        <w:t>európai idő /CET/ szerint): a pdf pályázati adatlap kinyomtatott,</w:t>
      </w:r>
      <w:r>
        <w:rPr>
          <w:rFonts w:ascii="Times New Roman" w:eastAsia="Times New Roman" w:hAnsi="Times New Roman"/>
          <w:b/>
          <w:sz w:val="21"/>
          <w:u w:val="single"/>
        </w:rPr>
        <w:t xml:space="preserve"> aláírt formájának és papír alapú dokumentumok szem</w:t>
      </w:r>
      <w:r>
        <w:rPr>
          <w:rFonts w:ascii="Times New Roman" w:eastAsia="Times New Roman" w:hAnsi="Times New Roman"/>
          <w:b/>
          <w:sz w:val="21"/>
          <w:u w:val="single"/>
        </w:rPr>
        <w:t>élyes vagy postai úton történő beérkezése</w:t>
      </w:r>
      <w:r>
        <w:rPr>
          <w:rFonts w:ascii="Times New Roman" w:eastAsia="Times New Roman" w:hAnsi="Times New Roman"/>
          <w:b/>
          <w:sz w:val="21"/>
          <w:u w:val="single"/>
        </w:rPr>
        <w:t xml:space="preserve"> .</w:t>
      </w:r>
    </w:p>
    <w:p w:rsidR="00000000" w:rsidRDefault="008733A0">
      <w:pPr>
        <w:spacing w:line="23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Felhívjuk a figyelmet arra, hog</w:t>
      </w:r>
      <w:r>
        <w:rPr>
          <w:rFonts w:ascii="Times New Roman" w:eastAsia="Times New Roman" w:hAnsi="Times New Roman"/>
          <w:sz w:val="22"/>
        </w:rPr>
        <w:t>y</w:t>
      </w:r>
    </w:p>
    <w:p w:rsidR="00000000" w:rsidRDefault="008733A0">
      <w:pPr>
        <w:numPr>
          <w:ilvl w:val="0"/>
          <w:numId w:val="16"/>
        </w:numPr>
        <w:tabs>
          <w:tab w:val="left" w:pos="740"/>
        </w:tabs>
        <w:spacing w:line="238" w:lineRule="auto"/>
        <w:ind w:left="740" w:hanging="367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a határidő minden esetben a beérkezés időpontját jelenti, valamint</w:t>
      </w:r>
    </w:p>
    <w:p w:rsidR="00000000" w:rsidRDefault="008733A0">
      <w:pPr>
        <w:numPr>
          <w:ilvl w:val="0"/>
          <w:numId w:val="16"/>
        </w:numPr>
        <w:tabs>
          <w:tab w:val="left" w:pos="740"/>
        </w:tabs>
        <w:spacing w:line="0" w:lineRule="atLeast"/>
        <w:ind w:left="740" w:hanging="367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a pályázat benyújtásával kapcsolatban hiánypótlásra nincs lehetőség!</w:t>
      </w:r>
    </w:p>
    <w:p w:rsidR="00000000" w:rsidRDefault="008733A0">
      <w:pPr>
        <w:spacing w:line="26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5" w:lineRule="auto"/>
        <w:ind w:left="20" w:right="28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A határidő után beérkezett, ill. a formailag hibás és/vagy hiányosan benyújtott pályázatokat a lebonyolító, valamint </w:t>
      </w:r>
      <w:r>
        <w:rPr>
          <w:rFonts w:ascii="Times New Roman" w:eastAsia="Times New Roman" w:hAnsi="Times New Roman"/>
          <w:i/>
          <w:sz w:val="22"/>
        </w:rPr>
        <w:t xml:space="preserve">a pályázatokat elbíráló Értékelő Bizottság nem veszi figyelembe, azok érdemi elbírálás nélkül </w:t>
      </w:r>
      <w:r>
        <w:rPr>
          <w:rFonts w:ascii="Times New Roman" w:eastAsia="Times New Roman" w:hAnsi="Times New Roman"/>
          <w:i/>
          <w:sz w:val="22"/>
        </w:rPr>
        <w:t>kizárásra kerülnek!</w:t>
      </w:r>
    </w:p>
    <w:p w:rsidR="00000000" w:rsidRDefault="008733A0">
      <w:pPr>
        <w:spacing w:line="235" w:lineRule="auto"/>
        <w:ind w:left="20" w:right="280"/>
        <w:rPr>
          <w:rFonts w:ascii="Times New Roman" w:eastAsia="Times New Roman" w:hAnsi="Times New Roman"/>
          <w:i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tabs>
          <w:tab w:val="left" w:pos="3600"/>
          <w:tab w:val="left" w:pos="740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5" w:name="page6"/>
      <w:bookmarkEnd w:id="5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53" w:lineRule="auto"/>
        <w:ind w:left="20" w:right="6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 </w:t>
      </w:r>
      <w:r>
        <w:rPr>
          <w:rFonts w:ascii="Times New Roman" w:eastAsia="Times New Roman" w:hAnsi="Times New Roman"/>
          <w:b/>
          <w:sz w:val="22"/>
          <w:u w:val="single"/>
        </w:rPr>
        <w:t>pályázat papír alapú dokumentumait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személyesen vagy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ajánlott küldeményként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postai úton </w:t>
      </w:r>
      <w:r>
        <w:rPr>
          <w:rFonts w:ascii="Times New Roman" w:eastAsia="Times New Roman" w:hAnsi="Times New Roman"/>
          <w:b/>
          <w:sz w:val="22"/>
        </w:rPr>
        <w:t>kérjük eljuttatni az alábbi, a pályázó állampolgárságának megfelelő* címre:</w:t>
      </w: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52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Romániában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Kolozsvári Magyar Egyetemi Intézet</w:t>
      </w:r>
      <w:r>
        <w:rPr>
          <w:rFonts w:ascii="Times New Roman" w:eastAsia="Times New Roman" w:hAnsi="Times New Roman"/>
          <w:b/>
          <w:sz w:val="22"/>
        </w:rPr>
        <w:t xml:space="preserve"> Románia, 400084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Kolozsvár, Farkas/Mihail Kogălniceanu u. 4</w:t>
      </w:r>
      <w:r>
        <w:rPr>
          <w:rFonts w:ascii="Times New Roman" w:eastAsia="Times New Roman" w:hAnsi="Times New Roman"/>
          <w:b/>
          <w:sz w:val="22"/>
        </w:rPr>
        <w:t>/9.</w:t>
      </w:r>
    </w:p>
    <w:p w:rsidR="00000000" w:rsidRDefault="008733A0">
      <w:pPr>
        <w:spacing w:line="4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Szlovákiába</w:t>
      </w:r>
      <w:r>
        <w:rPr>
          <w:rFonts w:ascii="Times New Roman" w:eastAsia="Times New Roman" w:hAnsi="Times New Roman"/>
          <w:b/>
          <w:sz w:val="22"/>
          <w:u w:val="single"/>
        </w:rPr>
        <w:t>n:</w:t>
      </w:r>
    </w:p>
    <w:p w:rsidR="00000000" w:rsidRDefault="008733A0">
      <w:pPr>
        <w:spacing w:line="2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Združenie za spoločné ciele </w:t>
      </w:r>
      <w:r>
        <w:rPr>
          <w:rFonts w:ascii="Times New Roman" w:eastAsia="Times New Roman" w:hAnsi="Times New Roman"/>
          <w:b/>
          <w:sz w:val="22"/>
          <w:u w:val="single"/>
        </w:rPr>
        <w:t>- Szövetség a Közös Célokért</w:t>
      </w:r>
    </w:p>
    <w:p w:rsidR="00000000" w:rsidRDefault="008733A0">
      <w:pPr>
        <w:spacing w:line="4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945 01 Révkomárom, Kossuth tér 3. / 945 01 Komárno, Nám. Kossutha 3. P.O.BOX 48</w:t>
      </w:r>
    </w:p>
    <w:p w:rsidR="00000000" w:rsidRDefault="008733A0">
      <w:pPr>
        <w:spacing w:line="39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Szerbiában:</w:t>
      </w:r>
    </w:p>
    <w:p w:rsidR="00000000" w:rsidRDefault="008733A0">
      <w:pPr>
        <w:spacing w:line="2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Szabadkai CMH Iroda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Concordia Minoritatis Hungaricae</w:t>
      </w:r>
    </w:p>
    <w:p w:rsidR="00000000" w:rsidRDefault="008733A0">
      <w:pPr>
        <w:spacing w:line="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Szerbia, 24000 Szabadka, Ptuji utca 1.</w:t>
      </w:r>
    </w:p>
    <w:p w:rsidR="00000000" w:rsidRDefault="008733A0">
      <w:pPr>
        <w:spacing w:line="36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Ukra</w:t>
      </w:r>
      <w:r>
        <w:rPr>
          <w:rFonts w:ascii="Times New Roman" w:eastAsia="Times New Roman" w:hAnsi="Times New Roman"/>
          <w:b/>
          <w:sz w:val="22"/>
          <w:u w:val="single"/>
        </w:rPr>
        <w:t>jnában: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"GENIUS" Jótékonysági Alapítvány, Agora Információs Központ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Cím: Beregszász, Kossuth tér 6., Pf. 33. (főbejárat, 108. terem)</w:t>
      </w:r>
    </w:p>
    <w:p w:rsidR="00000000" w:rsidRDefault="008733A0">
      <w:pPr>
        <w:spacing w:line="338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7"/>
        </w:numPr>
        <w:tabs>
          <w:tab w:val="left" w:pos="171"/>
        </w:tabs>
        <w:spacing w:line="293" w:lineRule="auto"/>
        <w:ind w:left="20" w:right="60" w:hanging="7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A romániai (erdélyi) pályázóknak a romániai, a szlovákiai (felvidéki) pályázóknak a szlovákiai, a szerbiai (vajdasági) p</w:t>
      </w:r>
      <w:r>
        <w:rPr>
          <w:rFonts w:ascii="Times New Roman" w:eastAsia="Times New Roman" w:hAnsi="Times New Roman"/>
          <w:i/>
          <w:sz w:val="19"/>
        </w:rPr>
        <w:t>ályázóknak a szerbiai, az ukrajnai (kárpátaljai) pályázóknak az ukrajnai címre kell benyújtaniuk pályázatukat!</w:t>
      </w:r>
    </w:p>
    <w:p w:rsidR="00000000" w:rsidRDefault="008733A0">
      <w:pPr>
        <w:spacing w:line="31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2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érdeklődők régiónak megfelelően az alábbi címen és telefonszámon kaphatnak további részletes felvilágosítást az ösztöndíjpályázatról, a pályá</w:t>
      </w:r>
      <w:r>
        <w:rPr>
          <w:rFonts w:ascii="Times New Roman" w:eastAsia="Times New Roman" w:hAnsi="Times New Roman"/>
          <w:sz w:val="22"/>
        </w:rPr>
        <w:t>zati adatlapról, a pályázati jelentkezésről, valamint a szerződésről:</w:t>
      </w:r>
    </w:p>
    <w:p w:rsidR="00000000" w:rsidRDefault="008733A0">
      <w:pPr>
        <w:spacing w:line="38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Romániában</w:t>
      </w:r>
    </w:p>
    <w:p w:rsidR="00000000" w:rsidRDefault="008733A0">
      <w:pPr>
        <w:spacing w:line="3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42" w:lineRule="auto"/>
        <w:ind w:left="1140" w:right="16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Kolozsvári Magyar Egyetemi Intézet 400084 Kolozsvár (Cluj-</w:t>
      </w:r>
      <w:r>
        <w:rPr>
          <w:rFonts w:ascii="Times New Roman" w:eastAsia="Times New Roman" w:hAnsi="Times New Roman"/>
          <w:b/>
          <w:sz w:val="22"/>
          <w:u w:val="single"/>
        </w:rPr>
        <w:t>Napoca), Farkas/Mihail Kogălniceanu u. 4/9.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Tel.: +40-264-430611,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+40-753-094945</w:t>
      </w:r>
    </w:p>
    <w:p w:rsidR="00000000" w:rsidRDefault="008733A0">
      <w:pPr>
        <w:spacing w:line="3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E-mail: office@kmei.ro; web: </w:t>
      </w:r>
      <w:hyperlink r:id="rId5" w:history="1">
        <w:r>
          <w:rPr>
            <w:rFonts w:ascii="Times New Roman" w:eastAsia="Times New Roman" w:hAnsi="Times New Roman"/>
            <w:b/>
            <w:sz w:val="22"/>
          </w:rPr>
          <w:t>www.kmei.ro</w:t>
        </w:r>
      </w:hyperlink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4" w:lineRule="auto"/>
        <w:ind w:left="1140" w:right="120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22"/>
        </w:rPr>
        <w:t>A KMEI kolozsvári irodája 2018. december 24-</w:t>
      </w:r>
      <w:r>
        <w:rPr>
          <w:rFonts w:ascii="Times New Roman" w:eastAsia="Times New Roman" w:hAnsi="Times New Roman"/>
          <w:b/>
          <w:i/>
          <w:sz w:val="22"/>
        </w:rPr>
        <w:t>től 2018. január 6</w:t>
      </w:r>
      <w:r>
        <w:rPr>
          <w:rFonts w:ascii="Times New Roman" w:eastAsia="Times New Roman" w:hAnsi="Times New Roman"/>
          <w:b/>
          <w:i/>
          <w:sz w:val="22"/>
        </w:rPr>
        <w:t>-</w:t>
      </w:r>
      <w:r>
        <w:rPr>
          <w:rFonts w:ascii="Times New Roman" w:eastAsia="Times New Roman" w:hAnsi="Times New Roman"/>
          <w:b/>
          <w:i/>
          <w:sz w:val="22"/>
        </w:rPr>
        <w:t>ig terjedő időszakban zárva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22"/>
        </w:rPr>
        <w:t>tart, azonban 2018. december 26-28. és 2019. január 2-</w:t>
      </w:r>
      <w:r>
        <w:rPr>
          <w:rFonts w:ascii="Times New Roman" w:eastAsia="Times New Roman" w:hAnsi="Times New Roman"/>
          <w:b/>
          <w:i/>
          <w:sz w:val="22"/>
        </w:rPr>
        <w:t>4. napokon helyi idő szerint 8.00 és 16.00 óra</w:t>
      </w:r>
      <w:r>
        <w:rPr>
          <w:rFonts w:ascii="Times New Roman" w:eastAsia="Times New Roman" w:hAnsi="Times New Roman"/>
          <w:b/>
          <w:i/>
          <w:sz w:val="22"/>
        </w:rPr>
        <w:t xml:space="preserve"> között t</w:t>
      </w:r>
      <w:r>
        <w:rPr>
          <w:rFonts w:ascii="Times New Roman" w:eastAsia="Times New Roman" w:hAnsi="Times New Roman"/>
          <w:b/>
          <w:i/>
          <w:sz w:val="22"/>
        </w:rPr>
        <w:t>elefonon (a +40-753-094945-ös számon) és e-</w:t>
      </w:r>
      <w:r>
        <w:rPr>
          <w:rFonts w:ascii="Times New Roman" w:eastAsia="Times New Roman" w:hAnsi="Times New Roman"/>
          <w:b/>
          <w:i/>
          <w:sz w:val="22"/>
        </w:rPr>
        <w:t>mailben lehet érdeklődni, e</w:t>
      </w:r>
      <w:r>
        <w:rPr>
          <w:rFonts w:ascii="Times New Roman" w:eastAsia="Times New Roman" w:hAnsi="Times New Roman"/>
          <w:b/>
          <w:i/>
          <w:sz w:val="22"/>
        </w:rPr>
        <w:t>gyeztetni pályázati ügyekben.</w:t>
      </w:r>
    </w:p>
    <w:p w:rsidR="00000000" w:rsidRDefault="008733A0">
      <w:pPr>
        <w:spacing w:line="11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Szlovákiában:</w:t>
      </w:r>
    </w:p>
    <w:p w:rsidR="00000000" w:rsidRDefault="008733A0">
      <w:pPr>
        <w:spacing w:line="25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Szövetség a Közös Célokért révkomáromi irodája 945 01</w:t>
      </w:r>
    </w:p>
    <w:p w:rsidR="00000000" w:rsidRDefault="008733A0">
      <w:pPr>
        <w:spacing w:line="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Révkomárom (Komárno), Kossuth tér 3.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Nám. Kossutha 3.</w:t>
      </w:r>
      <w:r>
        <w:rPr>
          <w:rFonts w:ascii="Times New Roman" w:eastAsia="Times New Roman" w:hAnsi="Times New Roman"/>
          <w:b/>
          <w:sz w:val="22"/>
        </w:rPr>
        <w:t xml:space="preserve"> Tel.:</w:t>
      </w:r>
    </w:p>
    <w:p w:rsidR="00000000" w:rsidRDefault="008733A0">
      <w:pPr>
        <w:spacing w:line="1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+421-908-116-931</w:t>
      </w:r>
    </w:p>
    <w:p w:rsidR="00000000" w:rsidRDefault="008733A0">
      <w:pPr>
        <w:spacing w:line="8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E-ma</w:t>
      </w:r>
      <w:r>
        <w:rPr>
          <w:rFonts w:ascii="Times New Roman" w:eastAsia="Times New Roman" w:hAnsi="Times New Roman"/>
          <w:b/>
          <w:sz w:val="22"/>
        </w:rPr>
        <w:t xml:space="preserve">il: komarom@szakc.sk; web: </w:t>
      </w:r>
      <w:hyperlink r:id="rId6" w:history="1">
        <w:r>
          <w:rPr>
            <w:rFonts w:ascii="Times New Roman" w:eastAsia="Times New Roman" w:hAnsi="Times New Roman"/>
            <w:b/>
            <w:sz w:val="22"/>
          </w:rPr>
          <w:t>www.szakc.sk</w:t>
        </w:r>
      </w:hyperlink>
    </w:p>
    <w:p w:rsidR="00000000" w:rsidRDefault="008733A0">
      <w:pPr>
        <w:spacing w:line="34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77" w:lineRule="auto"/>
        <w:ind w:left="1140" w:right="20"/>
        <w:jc w:val="center"/>
        <w:rPr>
          <w:rFonts w:ascii="Times New Roman" w:eastAsia="Times New Roman" w:hAnsi="Times New Roman"/>
          <w:b/>
          <w:i/>
          <w:sz w:val="19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19"/>
        </w:rPr>
        <w:t>A komáromi SZAKC iroda 2018. december 22-</w:t>
      </w:r>
      <w:r>
        <w:rPr>
          <w:rFonts w:ascii="Times New Roman" w:eastAsia="Times New Roman" w:hAnsi="Times New Roman"/>
          <w:b/>
          <w:i/>
          <w:sz w:val="19"/>
        </w:rPr>
        <w:t>től 2019. január 1</w:t>
      </w:r>
      <w:r>
        <w:rPr>
          <w:rFonts w:ascii="Times New Roman" w:eastAsia="Times New Roman" w:hAnsi="Times New Roman"/>
          <w:b/>
          <w:i/>
          <w:sz w:val="19"/>
        </w:rPr>
        <w:t>-</w:t>
      </w:r>
      <w:r>
        <w:rPr>
          <w:rFonts w:ascii="Times New Roman" w:eastAsia="Times New Roman" w:hAnsi="Times New Roman"/>
          <w:b/>
          <w:i/>
          <w:sz w:val="19"/>
        </w:rPr>
        <w:t>ig terjedő időszakban zárva tart,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azonban ebben az időszakban minden munkanapon 8.00 és 16.00 óra között tel</w:t>
      </w:r>
      <w:r>
        <w:rPr>
          <w:rFonts w:ascii="Times New Roman" w:eastAsia="Times New Roman" w:hAnsi="Times New Roman"/>
          <w:b/>
          <w:i/>
          <w:sz w:val="19"/>
        </w:rPr>
        <w:t>efonon (a +421</w:t>
      </w:r>
      <w:r>
        <w:rPr>
          <w:rFonts w:ascii="Times New Roman" w:eastAsia="Times New Roman" w:hAnsi="Times New Roman"/>
          <w:b/>
          <w:i/>
          <w:sz w:val="19"/>
        </w:rPr>
        <w:t>-908-116-931 számon)</w:t>
      </w:r>
      <w:r>
        <w:rPr>
          <w:rFonts w:ascii="Times New Roman" w:eastAsia="Times New Roman" w:hAnsi="Times New Roman"/>
          <w:b/>
          <w:i/>
          <w:sz w:val="19"/>
        </w:rPr>
        <w:t xml:space="preserve"> lehet érdeklődni, egyeztetni pályázati ügyekben.</w:t>
      </w:r>
    </w:p>
    <w:p w:rsidR="00000000" w:rsidRDefault="008733A0">
      <w:pPr>
        <w:spacing w:line="277" w:lineRule="auto"/>
        <w:ind w:left="1140" w:right="20"/>
        <w:jc w:val="center"/>
        <w:rPr>
          <w:rFonts w:ascii="Times New Roman" w:eastAsia="Times New Roman" w:hAnsi="Times New Roman"/>
          <w:b/>
          <w:i/>
          <w:sz w:val="19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362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tabs>
          <w:tab w:val="left" w:pos="3600"/>
          <w:tab w:val="left" w:pos="740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6" w:name="page7"/>
      <w:bookmarkEnd w:id="6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Szerbiában (Vajdaságban):</w:t>
      </w:r>
    </w:p>
    <w:p w:rsidR="00000000" w:rsidRDefault="008733A0">
      <w:pPr>
        <w:spacing w:line="2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Szabadkai CMH Iroda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Concordia Minor</w:t>
      </w:r>
      <w:r>
        <w:rPr>
          <w:rFonts w:ascii="Times New Roman" w:eastAsia="Times New Roman" w:hAnsi="Times New Roman"/>
          <w:b/>
          <w:sz w:val="22"/>
          <w:u w:val="single"/>
        </w:rPr>
        <w:t>itatis Hungaricae</w:t>
      </w:r>
    </w:p>
    <w:p w:rsidR="00000000" w:rsidRDefault="008733A0">
      <w:pPr>
        <w:spacing w:line="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Szerbia, 24000 Szabadka, Ptuji utca 1.</w:t>
      </w:r>
    </w:p>
    <w:p w:rsidR="00000000" w:rsidRDefault="008733A0">
      <w:pPr>
        <w:spacing w:line="11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Tel/Fax: +381-24-41-50-367; Fax: +381-24-41-50-367 E-mail: cmh.szabadka@gmail.com; web: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hyperlink r:id="rId7" w:history="1">
        <w:r>
          <w:rPr>
            <w:rFonts w:ascii="Times New Roman" w:eastAsia="Times New Roman" w:hAnsi="Times New Roman"/>
            <w:b/>
            <w:sz w:val="22"/>
          </w:rPr>
          <w:t>www.cmh.org.rs</w:t>
        </w:r>
      </w:hyperlink>
    </w:p>
    <w:p w:rsidR="00000000" w:rsidRDefault="008733A0">
      <w:pPr>
        <w:spacing w:line="31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i/>
          <w:sz w:val="19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22"/>
        </w:rPr>
        <w:t>A szabadkai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 xml:space="preserve">CMH iroda 2018.12.25. és 2019. </w:t>
      </w:r>
      <w:r>
        <w:rPr>
          <w:rFonts w:ascii="Times New Roman" w:eastAsia="Times New Roman" w:hAnsi="Times New Roman"/>
          <w:b/>
          <w:i/>
          <w:sz w:val="19"/>
        </w:rPr>
        <w:t>január 1-2. napjain zárva tart.</w:t>
      </w:r>
    </w:p>
    <w:p w:rsidR="00000000" w:rsidRDefault="008733A0">
      <w:pPr>
        <w:spacing w:line="31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Ukrajnában (Kárpátalján):</w:t>
      </w:r>
    </w:p>
    <w:p w:rsidR="00000000" w:rsidRDefault="008733A0">
      <w:pPr>
        <w:spacing w:line="2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"GENIUS" Jótékonysági Alapítvány,</w:t>
      </w:r>
    </w:p>
    <w:p w:rsidR="00000000" w:rsidRDefault="008733A0">
      <w:pPr>
        <w:spacing w:line="4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Agora Információs Központ</w:t>
      </w:r>
    </w:p>
    <w:p w:rsidR="00000000" w:rsidRDefault="008733A0">
      <w:pPr>
        <w:spacing w:line="3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Cím: Beregszász, Kossuth tér 6., Pf. 33.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(főbejárat, 108. terem)</w:t>
      </w:r>
    </w:p>
    <w:p w:rsidR="00000000" w:rsidRDefault="008733A0">
      <w:pPr>
        <w:spacing w:line="4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Tel.: 00 380-31-41-243-43/ 149-es mellék Fax: 00 380-31-41-234-62 E-</w:t>
      </w:r>
      <w:r>
        <w:rPr>
          <w:rFonts w:ascii="Times New Roman" w:eastAsia="Times New Roman" w:hAnsi="Times New Roman"/>
          <w:b/>
          <w:sz w:val="22"/>
        </w:rPr>
        <w:t>mail: agora@kmf.uz.ua; web:</w:t>
      </w:r>
    </w:p>
    <w:p w:rsidR="00000000" w:rsidRDefault="008733A0">
      <w:pPr>
        <w:spacing w:line="3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hyperlink r:id="rId8" w:history="1">
        <w:r>
          <w:rPr>
            <w:rFonts w:ascii="Times New Roman" w:eastAsia="Times New Roman" w:hAnsi="Times New Roman"/>
            <w:b/>
            <w:sz w:val="22"/>
          </w:rPr>
          <w:t>www.genius-ja.uz.ua</w:t>
        </w:r>
      </w:hyperlink>
    </w:p>
    <w:p w:rsidR="00000000" w:rsidRDefault="008733A0">
      <w:pPr>
        <w:spacing w:line="339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7" w:lineRule="auto"/>
        <w:ind w:left="1220" w:right="660"/>
        <w:jc w:val="center"/>
        <w:rPr>
          <w:rFonts w:ascii="Times New Roman" w:eastAsia="Times New Roman" w:hAnsi="Times New Roman"/>
          <w:b/>
          <w:i/>
          <w:sz w:val="19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22"/>
        </w:rPr>
        <w:t>Az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Agora Információs Központ beregszászi irodája 2018. 12.24-</w:t>
      </w:r>
      <w:r>
        <w:rPr>
          <w:rFonts w:ascii="Times New Roman" w:eastAsia="Times New Roman" w:hAnsi="Times New Roman"/>
          <w:b/>
          <w:i/>
          <w:sz w:val="19"/>
        </w:rPr>
        <w:t>től 201</w:t>
      </w:r>
      <w:r>
        <w:rPr>
          <w:rFonts w:ascii="Times New Roman" w:eastAsia="Times New Roman" w:hAnsi="Times New Roman"/>
          <w:b/>
          <w:i/>
          <w:sz w:val="19"/>
        </w:rPr>
        <w:t>9.01.09-</w:t>
      </w:r>
      <w:r>
        <w:rPr>
          <w:rFonts w:ascii="Times New Roman" w:eastAsia="Times New Roman" w:hAnsi="Times New Roman"/>
          <w:b/>
          <w:i/>
          <w:sz w:val="19"/>
        </w:rPr>
        <w:t>ig terjedő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időszakban zárva tart.</w:t>
      </w:r>
    </w:p>
    <w:p w:rsidR="00000000" w:rsidRDefault="008733A0">
      <w:pPr>
        <w:spacing w:line="3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0" w:lineRule="auto"/>
        <w:ind w:hanging="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beadáshoz szükséges további szükséges i</w:t>
      </w:r>
      <w:r>
        <w:rPr>
          <w:rFonts w:ascii="Times New Roman" w:eastAsia="Times New Roman" w:hAnsi="Times New Roman"/>
          <w:b/>
          <w:sz w:val="22"/>
        </w:rPr>
        <w:t xml:space="preserve">nformációk megtalálhatóak a vonatkozó szülőföldi </w:t>
      </w:r>
      <w:r>
        <w:rPr>
          <w:rFonts w:ascii="Times New Roman" w:eastAsia="Times New Roman" w:hAnsi="Times New Roman"/>
          <w:b/>
          <w:sz w:val="22"/>
        </w:rPr>
        <w:t>lebonyolító iroda honlapján.</w:t>
      </w:r>
    </w:p>
    <w:p w:rsidR="00000000" w:rsidRDefault="008733A0">
      <w:pPr>
        <w:spacing w:line="276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Szükséges mellékletek, igazolások:</w:t>
      </w:r>
    </w:p>
    <w:p w:rsidR="00000000" w:rsidRDefault="008733A0">
      <w:pPr>
        <w:spacing w:line="37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62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https://martonaron.elte.hu felületen kitöltött pályázati adatlap </w:t>
      </w:r>
      <w:r>
        <w:rPr>
          <w:rFonts w:ascii="Times New Roman" w:eastAsia="Times New Roman" w:hAnsi="Times New Roman"/>
          <w:i/>
          <w:sz w:val="22"/>
        </w:rPr>
        <w:t>(A pályázati adatlap adatainak meg kell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egyeznie a mellékletben szereplő a</w:t>
      </w:r>
      <w:r>
        <w:rPr>
          <w:rFonts w:ascii="Times New Roman" w:eastAsia="Times New Roman" w:hAnsi="Times New Roman"/>
          <w:i/>
          <w:sz w:val="22"/>
        </w:rPr>
        <w:t xml:space="preserve">datokkal!) </w:t>
      </w:r>
      <w:r>
        <w:rPr>
          <w:rFonts w:ascii="Times New Roman" w:eastAsia="Times New Roman" w:hAnsi="Times New Roman"/>
          <w:sz w:val="22"/>
        </w:rPr>
        <w:t>a hozzátartozó nyilatkozattal (Nyilatkozat 2.) együtt. -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géppel írt strukturált szakmai önéletrajz;</w:t>
      </w:r>
    </w:p>
    <w:p w:rsidR="00000000" w:rsidRDefault="008733A0">
      <w:pPr>
        <w:spacing w:line="28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amennyiben a pályázó rendelkezik doktori (PhD/DLA vagy ezzel egyenértékű) fokozattal: </w:t>
      </w:r>
      <w:r>
        <w:rPr>
          <w:rFonts w:ascii="Times New Roman" w:eastAsia="Times New Roman" w:hAnsi="Times New Roman"/>
          <w:sz w:val="22"/>
        </w:rPr>
        <w:t>a doktori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fokozatot igazoló oklevél/diploma egyszerű másol</w:t>
      </w:r>
      <w:r>
        <w:rPr>
          <w:rFonts w:ascii="Times New Roman" w:eastAsia="Times New Roman" w:hAnsi="Times New Roman"/>
          <w:sz w:val="22"/>
        </w:rPr>
        <w:t>ata ;</w:t>
      </w:r>
    </w:p>
    <w:p w:rsidR="00000000" w:rsidRDefault="008733A0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64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amennyiben a pályázó nem rendelkezik doktori (PhD/DLA vagy ez</w:t>
      </w:r>
      <w:r>
        <w:rPr>
          <w:rFonts w:ascii="Times New Roman" w:eastAsia="Times New Roman" w:hAnsi="Times New Roman"/>
          <w:i/>
          <w:sz w:val="22"/>
        </w:rPr>
        <w:t>zel egyenértékű) fokozattal: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 doktori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képzésben való részvétel igazolására alkalmas dokumentum(ok) (pl. leckekönyv, felsőoktatási intézmény </w:t>
      </w:r>
      <w:r>
        <w:rPr>
          <w:rFonts w:ascii="Times New Roman" w:eastAsia="Times New Roman" w:hAnsi="Times New Roman"/>
          <w:sz w:val="22"/>
        </w:rPr>
        <w:t>igazolása, doktori képzés abszolutóriumáról szó</w:t>
      </w:r>
      <w:r>
        <w:rPr>
          <w:rFonts w:ascii="Times New Roman" w:eastAsia="Times New Roman" w:hAnsi="Times New Roman"/>
          <w:sz w:val="22"/>
        </w:rPr>
        <w:t>ló igazolás, doktorjelölti státusz igazolása, doktori jogviszony iga</w:t>
      </w:r>
      <w:r>
        <w:rPr>
          <w:rFonts w:ascii="Times New Roman" w:eastAsia="Times New Roman" w:hAnsi="Times New Roman"/>
          <w:sz w:val="22"/>
        </w:rPr>
        <w:t>zolása stb.) egyszerű másolata;</w:t>
      </w:r>
    </w:p>
    <w:p w:rsidR="00000000" w:rsidRDefault="008733A0">
      <w:pPr>
        <w:spacing w:line="29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64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30 napnál nem régebbi, a felsőoktatási intézmény által kiállított munkaviszonyról (kárpátaljai, erdélyi és </w:t>
      </w:r>
      <w:r>
        <w:rPr>
          <w:rFonts w:ascii="Times New Roman" w:eastAsia="Times New Roman" w:hAnsi="Times New Roman"/>
          <w:sz w:val="22"/>
        </w:rPr>
        <w:t>vajdasági pályázók esetében megbízási jogviszony</w:t>
      </w:r>
      <w:r>
        <w:rPr>
          <w:rFonts w:ascii="Times New Roman" w:eastAsia="Times New Roman" w:hAnsi="Times New Roman"/>
          <w:sz w:val="22"/>
        </w:rPr>
        <w:t>ról is szólhat) szóló igazolás (A kárpátaljai pályázók esetében a munkaviszony igazolásban szükséges feltüntetni a pályázó munkahelyi, oktatói megterhelését);</w:t>
      </w:r>
    </w:p>
    <w:p w:rsidR="00000000" w:rsidRDefault="008733A0">
      <w:pPr>
        <w:spacing w:line="27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felsőoktatási intézmény </w:t>
      </w:r>
      <w:r>
        <w:rPr>
          <w:rFonts w:ascii="Times New Roman" w:eastAsia="Times New Roman" w:hAnsi="Times New Roman"/>
          <w:sz w:val="22"/>
        </w:rPr>
        <w:t>– az egyetem/főiskola vezetője által hitelesített, 30 napnál nem régeb</w:t>
      </w:r>
      <w:r>
        <w:rPr>
          <w:rFonts w:ascii="Times New Roman" w:eastAsia="Times New Roman" w:hAnsi="Times New Roman"/>
          <w:sz w:val="22"/>
        </w:rPr>
        <w:t xml:space="preserve">bi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igazolása</w:t>
      </w:r>
    </w:p>
    <w:p w:rsidR="00000000" w:rsidRDefault="008733A0">
      <w:pPr>
        <w:numPr>
          <w:ilvl w:val="1"/>
          <w:numId w:val="18"/>
        </w:numPr>
        <w:tabs>
          <w:tab w:val="left" w:pos="860"/>
        </w:tabs>
        <w:spacing w:line="180" w:lineRule="auto"/>
        <w:ind w:left="860" w:hanging="42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 pályázó beosztásáról, egyetemi/főiskolai fokozatá</w:t>
      </w:r>
      <w:r>
        <w:rPr>
          <w:rFonts w:ascii="Times New Roman" w:eastAsia="Times New Roman" w:hAnsi="Times New Roman"/>
          <w:sz w:val="19"/>
        </w:rPr>
        <w:t>ról</w:t>
      </w:r>
    </w:p>
    <w:p w:rsidR="00000000" w:rsidRDefault="008733A0">
      <w:pPr>
        <w:spacing w:line="6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1"/>
          <w:numId w:val="18"/>
        </w:numPr>
        <w:tabs>
          <w:tab w:val="left" w:pos="860"/>
        </w:tabs>
        <w:spacing w:line="180" w:lineRule="auto"/>
        <w:ind w:left="860" w:right="20" w:hanging="420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arról, hogy a pályázó az órarend szerinti oktatói tevékenységét a felsőoktatási intézményben </w:t>
      </w:r>
      <w:r>
        <w:rPr>
          <w:rFonts w:ascii="Times New Roman" w:eastAsia="Times New Roman" w:hAnsi="Times New Roman"/>
          <w:sz w:val="21"/>
        </w:rPr>
        <w:t>magyar nyelven is folytatja, és/vagy</w:t>
      </w:r>
    </w:p>
    <w:p w:rsidR="00000000" w:rsidRDefault="008733A0">
      <w:pPr>
        <w:spacing w:line="53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8733A0">
      <w:pPr>
        <w:numPr>
          <w:ilvl w:val="1"/>
          <w:numId w:val="18"/>
        </w:numPr>
        <w:tabs>
          <w:tab w:val="left" w:pos="860"/>
        </w:tabs>
        <w:spacing w:line="180" w:lineRule="auto"/>
        <w:ind w:left="860" w:right="20" w:hanging="420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arról, hogy a pályázó magyar nyelven folytat órarenden</w:t>
      </w:r>
      <w:r>
        <w:rPr>
          <w:rFonts w:ascii="Times New Roman" w:eastAsia="Times New Roman" w:hAnsi="Times New Roman"/>
          <w:sz w:val="21"/>
        </w:rPr>
        <w:t xml:space="preserve"> kívüli oktatói tevékenységét a felsőoktatási </w:t>
      </w:r>
      <w:r>
        <w:rPr>
          <w:rFonts w:ascii="Times New Roman" w:eastAsia="Times New Roman" w:hAnsi="Times New Roman"/>
          <w:sz w:val="21"/>
        </w:rPr>
        <w:t>intézményben ;</w:t>
      </w:r>
    </w:p>
    <w:p w:rsidR="00000000" w:rsidRDefault="008733A0">
      <w:pPr>
        <w:spacing w:line="53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63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Amen</w:t>
      </w:r>
      <w:r>
        <w:rPr>
          <w:rFonts w:ascii="Times New Roman" w:eastAsia="Times New Roman" w:hAnsi="Times New Roman"/>
          <w:i/>
          <w:sz w:val="22"/>
        </w:rPr>
        <w:t>nyiben a nem magyar nyelvű képzéshez kapcsoltan folytatott órarenden kívüli oktatási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tevékenységről az intézmény vezetője nem ad ki igazolást, akkor szükséges legfeljebb 1 oldal </w:t>
      </w:r>
      <w:r>
        <w:rPr>
          <w:rFonts w:ascii="Times New Roman" w:eastAsia="Times New Roman" w:hAnsi="Times New Roman"/>
          <w:i/>
          <w:sz w:val="22"/>
        </w:rPr>
        <w:t>terjedelembe</w:t>
      </w:r>
      <w:r>
        <w:rPr>
          <w:rFonts w:ascii="Times New Roman" w:eastAsia="Times New Roman" w:hAnsi="Times New Roman"/>
          <w:i/>
          <w:sz w:val="22"/>
        </w:rPr>
        <w:t>n a tevékenység bemutatása, illetve bármilyen, a tevékenységet igazoló dokumentáció (pl. az</w:t>
      </w:r>
    </w:p>
    <w:p w:rsidR="00000000" w:rsidRDefault="008733A0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265" w:lineRule="auto"/>
        <w:ind w:left="38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órarenden kívüli magyar nyelvű oktatói tevékenység során vezetett, a részt vevő hallgatók aláírásával igazolt katalógus/jelenléti ív eredeti példánya vagy annak má</w:t>
      </w:r>
      <w:r>
        <w:rPr>
          <w:rFonts w:ascii="Times New Roman" w:eastAsia="Times New Roman" w:hAnsi="Times New Roman"/>
          <w:i/>
          <w:sz w:val="22"/>
        </w:rPr>
        <w:t xml:space="preserve">solata, szakmai beszámolók, a résztvevő </w:t>
      </w:r>
      <w:r>
        <w:rPr>
          <w:rFonts w:ascii="Times New Roman" w:eastAsia="Times New Roman" w:hAnsi="Times New Roman"/>
          <w:i/>
          <w:sz w:val="22"/>
        </w:rPr>
        <w:t xml:space="preserve">hallgatók által kiállított igazolás stb.) benyújtása. Ez esetben beadott dokumentáció alapján a regionális </w:t>
      </w:r>
      <w:r>
        <w:rPr>
          <w:rFonts w:ascii="Times New Roman" w:eastAsia="Times New Roman" w:hAnsi="Times New Roman"/>
          <w:i/>
          <w:sz w:val="22"/>
        </w:rPr>
        <w:t>előértékelő bizottság dönt az órarenden kívüli oktatási tevékenység elismeréséről.</w:t>
      </w:r>
    </w:p>
    <w:p w:rsidR="00000000" w:rsidRDefault="008733A0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tanszékvezetői (amennyibe</w:t>
      </w:r>
      <w:r>
        <w:rPr>
          <w:rFonts w:ascii="Times New Roman" w:eastAsia="Times New Roman" w:hAnsi="Times New Roman"/>
          <w:sz w:val="22"/>
        </w:rPr>
        <w:t xml:space="preserve">n a pályázó tanszékvezető, dékáni vagy rektori /intézményvezetői) </w:t>
      </w:r>
      <w:r>
        <w:rPr>
          <w:rFonts w:ascii="Times New Roman" w:eastAsia="Times New Roman" w:hAnsi="Times New Roman"/>
          <w:sz w:val="22"/>
        </w:rPr>
        <w:t>ajánló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levél </w:t>
      </w:r>
      <w:r>
        <w:rPr>
          <w:rFonts w:ascii="Times New Roman" w:eastAsia="Times New Roman" w:hAnsi="Times New Roman"/>
          <w:i/>
          <w:sz w:val="22"/>
        </w:rPr>
        <w:t>vagy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más egyetemi/főiskolai minősített oktató (egyetemi/főiskolai tanár /professzor/ vagy docens)</w:t>
      </w:r>
    </w:p>
    <w:p w:rsidR="00000000" w:rsidRDefault="008733A0">
      <w:pPr>
        <w:tabs>
          <w:tab w:val="left" w:pos="380"/>
        </w:tabs>
        <w:spacing w:line="257" w:lineRule="auto"/>
        <w:ind w:left="380" w:hanging="367"/>
        <w:jc w:val="both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spacing w:line="248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</w:p>
    <w:p w:rsidR="00000000" w:rsidRDefault="008733A0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8733A0">
      <w:pPr>
        <w:tabs>
          <w:tab w:val="left" w:pos="3800"/>
          <w:tab w:val="left" w:pos="7600"/>
        </w:tabs>
        <w:spacing w:line="0" w:lineRule="atLeast"/>
        <w:ind w:left="220"/>
        <w:rPr>
          <w:rFonts w:ascii="Times New Roman" w:eastAsia="Times New Roman" w:hAnsi="Times New Roman"/>
        </w:rPr>
      </w:pPr>
      <w:bookmarkStart w:id="7" w:name="page8"/>
      <w:bookmarkEnd w:id="7"/>
      <w:r>
        <w:rPr>
          <w:rFonts w:ascii="Times New Roman" w:eastAsia="Times New Roman" w:hAnsi="Times New Roman"/>
        </w:rPr>
        <w:lastRenderedPageBreak/>
        <w:t>Erdély, Felvidék, Kárpátalja, Vajdaság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szülőföldi fiatal oktatói ösztöndíj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57980 /2018/KÁRPÁTKFF</w:t>
      </w:r>
    </w:p>
    <w:p w:rsidR="00000000" w:rsidRDefault="008733A0">
      <w:pPr>
        <w:spacing w:line="247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67" w:lineRule="auto"/>
        <w:ind w:left="580"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szakmai ajánlólevele. (Az ajánlásnak tartalmaznia kell az ajánló nevét, aláírását, tudományos fokozatát </w:t>
      </w:r>
      <w:r>
        <w:rPr>
          <w:rFonts w:ascii="Times New Roman" w:eastAsia="Times New Roman" w:hAnsi="Times New Roman"/>
          <w:sz w:val="22"/>
        </w:rPr>
        <w:t xml:space="preserve">és beosztását, munkahelyi elérhetőségeit. </w:t>
      </w:r>
      <w:r>
        <w:rPr>
          <w:rFonts w:ascii="Times New Roman" w:eastAsia="Times New Roman" w:hAnsi="Times New Roman"/>
          <w:sz w:val="22"/>
        </w:rPr>
        <w:t>Az ajánlásból ki kell, hogy derüljön, hogy az ajánló ismeri 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pályázó eddigi eredménye</w:t>
      </w:r>
      <w:r>
        <w:rPr>
          <w:rFonts w:ascii="Times New Roman" w:eastAsia="Times New Roman" w:hAnsi="Times New Roman"/>
          <w:sz w:val="22"/>
        </w:rPr>
        <w:t>it és tevékenységét.);</w:t>
      </w:r>
    </w:p>
    <w:p w:rsidR="00000000" w:rsidRDefault="008733A0">
      <w:pPr>
        <w:spacing w:line="27" w:lineRule="exact"/>
        <w:rPr>
          <w:rFonts w:ascii="Times New Roman" w:eastAsia="Times New Roman" w:hAnsi="Times New Roman"/>
        </w:rPr>
      </w:pPr>
    </w:p>
    <w:p w:rsidR="00000000" w:rsidRDefault="008733A0">
      <w:pPr>
        <w:numPr>
          <w:ilvl w:val="0"/>
          <w:numId w:val="19"/>
        </w:numPr>
        <w:tabs>
          <w:tab w:val="left" w:pos="580"/>
        </w:tabs>
        <w:spacing w:line="255" w:lineRule="auto"/>
        <w:ind w:left="580" w:right="2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állandó lakóhelyet igazoló okmány másolata (A felvidéki pályázók esetében a személyi igazolvány hátoldalának fénymásolata);</w:t>
      </w:r>
    </w:p>
    <w:p w:rsidR="00000000" w:rsidRDefault="008733A0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9"/>
        </w:numPr>
        <w:tabs>
          <w:tab w:val="left" w:pos="580"/>
        </w:tabs>
        <w:spacing w:line="264" w:lineRule="auto"/>
        <w:ind w:left="5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magyar nemzetiség igazolása (E célra egyaránt alkalmas a Magyar igazolvány 1-2. oldalának [az igazolvá</w:t>
      </w:r>
      <w:r>
        <w:rPr>
          <w:rFonts w:ascii="Times New Roman" w:eastAsia="Times New Roman" w:hAnsi="Times New Roman"/>
          <w:sz w:val="22"/>
        </w:rPr>
        <w:t xml:space="preserve">ny számának és adatlapjának] másolata, vagy a Magyar igazolványra vonatkozó igénylés </w:t>
      </w:r>
      <w:r>
        <w:rPr>
          <w:rFonts w:ascii="Times New Roman" w:eastAsia="Times New Roman" w:hAnsi="Times New Roman"/>
          <w:sz w:val="22"/>
        </w:rPr>
        <w:t xml:space="preserve">másolata, illetve ezek hiányában minden olyan dokumentum, amelyből a nemzetiség hitelt érdemlően </w:t>
      </w:r>
      <w:r>
        <w:rPr>
          <w:rFonts w:ascii="Times New Roman" w:eastAsia="Times New Roman" w:hAnsi="Times New Roman"/>
          <w:sz w:val="22"/>
        </w:rPr>
        <w:t xml:space="preserve">megállapítható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 felvidéki és erdélyi pályázók esetében pl. érettségi bi</w:t>
      </w:r>
      <w:r>
        <w:rPr>
          <w:rFonts w:ascii="Times New Roman" w:eastAsia="Times New Roman" w:hAnsi="Times New Roman"/>
          <w:sz w:val="22"/>
        </w:rPr>
        <w:t>zonyítvány fénymásolata.)</w:t>
      </w:r>
    </w:p>
    <w:p w:rsidR="00000000" w:rsidRDefault="008733A0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numPr>
          <w:ilvl w:val="0"/>
          <w:numId w:val="19"/>
        </w:numPr>
        <w:tabs>
          <w:tab w:val="left" w:pos="580"/>
        </w:tabs>
        <w:spacing w:line="0" w:lineRule="atLeast"/>
        <w:ind w:left="5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magyar nyelven folytatott oktatási tevékenység, a tudományos publikációk és egyéb tudományos</w:t>
      </w:r>
    </w:p>
    <w:p w:rsidR="00000000" w:rsidRDefault="008733A0">
      <w:pPr>
        <w:spacing w:line="41" w:lineRule="exact"/>
        <w:rPr>
          <w:rFonts w:ascii="Times New Roman" w:eastAsia="Times New Roman" w:hAnsi="Times New Roman"/>
          <w:sz w:val="22"/>
        </w:rPr>
      </w:pPr>
    </w:p>
    <w:p w:rsidR="00000000" w:rsidRDefault="008733A0">
      <w:pPr>
        <w:spacing w:line="257" w:lineRule="auto"/>
        <w:ind w:left="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(vagy művészeti) és közösségi tevékenység jegyzéke (melyet az elektronikus adatlap megfelelő mezőiben kell rendezetten feltüntetni)</w:t>
      </w:r>
    </w:p>
    <w:p w:rsidR="00000000" w:rsidRDefault="008733A0">
      <w:pPr>
        <w:numPr>
          <w:ilvl w:val="1"/>
          <w:numId w:val="19"/>
        </w:numPr>
        <w:tabs>
          <w:tab w:val="left" w:pos="1060"/>
        </w:tabs>
        <w:spacing w:line="181" w:lineRule="auto"/>
        <w:ind w:left="1060" w:hanging="420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</w:t>
      </w:r>
      <w:r>
        <w:rPr>
          <w:rFonts w:ascii="Times New Roman" w:eastAsia="Times New Roman" w:hAnsi="Times New Roman"/>
          <w:sz w:val="19"/>
        </w:rPr>
        <w:t xml:space="preserve"> publikációk első oldalának valamint a kiadvány címoldalának, tartalomjegyzékének másolata;</w:t>
      </w:r>
    </w:p>
    <w:p w:rsidR="00000000" w:rsidRDefault="008733A0">
      <w:pPr>
        <w:spacing w:line="59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8733A0">
      <w:pPr>
        <w:numPr>
          <w:ilvl w:val="1"/>
          <w:numId w:val="19"/>
        </w:numPr>
        <w:tabs>
          <w:tab w:val="left" w:pos="1060"/>
        </w:tabs>
        <w:spacing w:line="207" w:lineRule="auto"/>
        <w:ind w:left="1060" w:hanging="420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művészeti (alkotó) tevékenységet (kiállítások, hangversenyek, művészeti előadások, kiadványok stb.) hitelt érdemlően igazoló dokumentumokat (ha minősített /zsűri</w:t>
      </w:r>
      <w:r>
        <w:rPr>
          <w:rFonts w:ascii="Times New Roman" w:eastAsia="Times New Roman" w:hAnsi="Times New Roman"/>
          <w:sz w:val="22"/>
        </w:rPr>
        <w:t xml:space="preserve">zett/ az esemény, akkor az elért helyezést /minősítést/ bizonyító oklevél másolatát is csatolni kell), internetes oldalak, honlapok </w:t>
      </w:r>
      <w:r>
        <w:rPr>
          <w:rFonts w:ascii="Times New Roman" w:eastAsia="Times New Roman" w:hAnsi="Times New Roman"/>
          <w:sz w:val="22"/>
        </w:rPr>
        <w:t>pontos hivatkozásait (linkjeit);</w:t>
      </w:r>
    </w:p>
    <w:p w:rsidR="00000000" w:rsidRDefault="008733A0">
      <w:pPr>
        <w:spacing w:line="58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1"/>
          <w:numId w:val="19"/>
        </w:numPr>
        <w:tabs>
          <w:tab w:val="left" w:pos="1060"/>
        </w:tabs>
        <w:spacing w:line="194" w:lineRule="auto"/>
        <w:ind w:left="1060" w:hanging="420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szakmai konferencián bemutatott előadás/poszter esetében a meghívó, ill. az ott kapott dok</w:t>
      </w:r>
      <w:r>
        <w:rPr>
          <w:rFonts w:ascii="Times New Roman" w:eastAsia="Times New Roman" w:hAnsi="Times New Roman"/>
          <w:sz w:val="22"/>
        </w:rPr>
        <w:t xml:space="preserve">umentum/emléklap másolatának, a konferenciaprogram, vagy a részvételt hitelt érdemlően </w:t>
      </w:r>
      <w:r>
        <w:rPr>
          <w:rFonts w:ascii="Times New Roman" w:eastAsia="Times New Roman" w:hAnsi="Times New Roman"/>
          <w:sz w:val="22"/>
        </w:rPr>
        <w:t>igazoló bármely dokumentumnak a csatolásával;</w:t>
      </w:r>
    </w:p>
    <w:p w:rsidR="00000000" w:rsidRDefault="008733A0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8733A0">
      <w:pPr>
        <w:numPr>
          <w:ilvl w:val="1"/>
          <w:numId w:val="19"/>
        </w:numPr>
        <w:tabs>
          <w:tab w:val="left" w:pos="1060"/>
        </w:tabs>
        <w:spacing w:line="194" w:lineRule="auto"/>
        <w:ind w:left="1060" w:hanging="420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szakmai projektben vagy munkacsoportban való részvétel igazolása (Szerbiában az intézmény vagy </w:t>
      </w:r>
      <w:r>
        <w:rPr>
          <w:rFonts w:ascii="Times New Roman" w:eastAsia="Times New Roman" w:hAnsi="Times New Roman"/>
          <w:sz w:val="22"/>
        </w:rPr>
        <w:t>projektvezető részéről), va</w:t>
      </w:r>
      <w:r>
        <w:rPr>
          <w:rFonts w:ascii="Times New Roman" w:eastAsia="Times New Roman" w:hAnsi="Times New Roman"/>
          <w:sz w:val="22"/>
        </w:rPr>
        <w:t xml:space="preserve">lamint bármely olyan dokumentum, amely a szülőföldi hasznosulás </w:t>
      </w:r>
      <w:r>
        <w:rPr>
          <w:rFonts w:ascii="Times New Roman" w:eastAsia="Times New Roman" w:hAnsi="Times New Roman"/>
          <w:sz w:val="22"/>
        </w:rPr>
        <w:t>eldöntésében a szakmai elbírálásnál információval szolgál.</w:t>
      </w:r>
    </w:p>
    <w:p w:rsidR="00000000" w:rsidRDefault="008733A0">
      <w:pPr>
        <w:spacing w:line="31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4" w:lineRule="auto"/>
        <w:ind w:left="200" w:hanging="9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FONTOS! A vajdasági pályázók esetében azon pályázók, akik a 2017/2018-as tanévben is pályáztak, és ott </w:t>
      </w:r>
      <w:r>
        <w:rPr>
          <w:rFonts w:ascii="Times New Roman" w:eastAsia="Times New Roman" w:hAnsi="Times New Roman"/>
          <w:b/>
          <w:i/>
          <w:sz w:val="22"/>
        </w:rPr>
        <w:t>beadták ezen mellékleteket, a</w:t>
      </w:r>
      <w:r>
        <w:rPr>
          <w:rFonts w:ascii="Times New Roman" w:eastAsia="Times New Roman" w:hAnsi="Times New Roman"/>
          <w:b/>
          <w:i/>
          <w:sz w:val="22"/>
        </w:rPr>
        <w:t xml:space="preserve">zok csak a megfelelő adatlapon tüntessék fel ezeket, de papír alapon csak az </w:t>
      </w:r>
      <w:r>
        <w:rPr>
          <w:rFonts w:ascii="Times New Roman" w:eastAsia="Times New Roman" w:hAnsi="Times New Roman"/>
          <w:b/>
          <w:i/>
          <w:sz w:val="22"/>
        </w:rPr>
        <w:t>eddigiekben nem mellékelt új anyagot adják be, ami a 2017/2018-as tanévben még nem került beadásra</w:t>
      </w:r>
      <w:r>
        <w:rPr>
          <w:rFonts w:ascii="Times New Roman" w:eastAsia="Times New Roman" w:hAnsi="Times New Roman"/>
          <w:i/>
          <w:sz w:val="22"/>
        </w:rPr>
        <w:t>.</w:t>
      </w:r>
    </w:p>
    <w:p w:rsidR="00000000" w:rsidRDefault="008733A0">
      <w:pPr>
        <w:spacing w:line="273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37" w:lineRule="auto"/>
        <w:ind w:left="200" w:hanging="9"/>
        <w:jc w:val="both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FIGYELEM!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  <w:sz w:val="22"/>
        </w:rPr>
        <w:t>Ha a publikációs és egyéb tudományos vagy művészeti tevékenység jegy</w:t>
      </w:r>
      <w:r>
        <w:rPr>
          <w:rFonts w:ascii="Times New Roman" w:eastAsia="Times New Roman" w:hAnsi="Times New Roman"/>
          <w:b/>
          <w:i/>
          <w:sz w:val="22"/>
        </w:rPr>
        <w:t xml:space="preserve">zéke nincs alátámasztva a megfelelő igazolásokkal az Értékelő Bizottság azt nem veszi figyelembe, illetve ha a </w:t>
      </w:r>
      <w:r>
        <w:rPr>
          <w:rFonts w:ascii="Times New Roman" w:eastAsia="Times New Roman" w:hAnsi="Times New Roman"/>
          <w:b/>
          <w:i/>
          <w:sz w:val="22"/>
        </w:rPr>
        <w:t>mellékelt másolatok nem a mel</w:t>
      </w:r>
      <w:r>
        <w:rPr>
          <w:rFonts w:ascii="Times New Roman" w:eastAsia="Times New Roman" w:hAnsi="Times New Roman"/>
          <w:b/>
          <w:i/>
          <w:sz w:val="22"/>
        </w:rPr>
        <w:t>léklet sorrendjében rendezettek vagy nem azonosak azzal, az Értékelő</w:t>
      </w:r>
      <w:r>
        <w:rPr>
          <w:rFonts w:ascii="Times New Roman" w:eastAsia="Times New Roman" w:hAnsi="Times New Roman"/>
          <w:b/>
          <w:i/>
          <w:sz w:val="22"/>
        </w:rPr>
        <w:t xml:space="preserve"> Bizottság azt nem köteles figyelembe venni.</w:t>
      </w:r>
    </w:p>
    <w:p w:rsidR="00000000" w:rsidRDefault="008733A0">
      <w:pPr>
        <w:spacing w:line="254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0" w:lineRule="atLeast"/>
        <w:ind w:left="220"/>
        <w:rPr>
          <w:rFonts w:ascii="Times New Roman" w:eastAsia="Times New Roman" w:hAnsi="Times New Roman"/>
          <w:b/>
          <w:i/>
          <w:sz w:val="22"/>
          <w:u w:val="single"/>
        </w:rPr>
      </w:pPr>
      <w:r>
        <w:rPr>
          <w:rFonts w:ascii="Times New Roman" w:eastAsia="Times New Roman" w:hAnsi="Times New Roman"/>
          <w:b/>
          <w:i/>
          <w:sz w:val="22"/>
          <w:u w:val="single"/>
        </w:rPr>
        <w:t>Me</w:t>
      </w:r>
      <w:r>
        <w:rPr>
          <w:rFonts w:ascii="Times New Roman" w:eastAsia="Times New Roman" w:hAnsi="Times New Roman"/>
          <w:b/>
          <w:i/>
          <w:sz w:val="22"/>
          <w:u w:val="single"/>
        </w:rPr>
        <w:t>llékletek összesítése:</w:t>
      </w:r>
    </w:p>
    <w:p w:rsidR="00000000" w:rsidRDefault="008733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2"/>
          <w:u w:val="single"/>
        </w:rPr>
        <w:pict>
          <v:rect id="_x0000_s1026" style="position:absolute;margin-left:-.65pt;margin-top:13.75pt;width:.95pt;height:1.1pt;z-index:-251660288" o:userdrawn="t" fillcolor="black" strokecolor="none"/>
        </w:pict>
      </w:r>
      <w:r>
        <w:rPr>
          <w:rFonts w:ascii="Times New Roman" w:eastAsia="Times New Roman" w:hAnsi="Times New Roman"/>
          <w:b/>
          <w:i/>
          <w:sz w:val="22"/>
          <w:u w:val="single"/>
        </w:rPr>
        <w:pict>
          <v:rect id="_x0000_s1027" style="position:absolute;margin-left:486.9pt;margin-top:13.75pt;width:.95pt;height:1.1pt;z-index:-251659264" o:userdrawn="t" fillcolor="black" strokecolor="none"/>
        </w:pict>
      </w:r>
    </w:p>
    <w:p w:rsidR="00000000" w:rsidRDefault="008733A0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"/>
        <w:gridCol w:w="3060"/>
        <w:gridCol w:w="20"/>
        <w:gridCol w:w="1960"/>
        <w:gridCol w:w="1200"/>
        <w:gridCol w:w="1160"/>
        <w:gridCol w:w="1180"/>
        <w:gridCol w:w="1160"/>
      </w:tblGrid>
      <w:tr w:rsidR="00000000">
        <w:trPr>
          <w:trHeight w:val="40"/>
        </w:trPr>
        <w:tc>
          <w:tcPr>
            <w:tcW w:w="2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Melléklet: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Elektronikus beadás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Papír alapú beadás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209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60" w:type="dxa"/>
            <w:vMerge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vMerge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3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Erdély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2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Felvidék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Kárpátalja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Vajdaság</w:t>
            </w:r>
          </w:p>
        </w:tc>
      </w:tr>
      <w:tr w:rsidR="00000000">
        <w:trPr>
          <w:trHeight w:val="2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255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224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Pályázati adatlap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2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</w:tr>
      <w:tr w:rsidR="00000000">
        <w:trPr>
          <w:trHeight w:val="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Munkaviszony igazolás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58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8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8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8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</w:tr>
      <w:tr w:rsidR="00000000">
        <w:trPr>
          <w:trHeight w:val="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Doktori fokozatot igaz</w:t>
            </w:r>
            <w:r>
              <w:rPr>
                <w:rFonts w:ascii="Times New Roman" w:eastAsia="Times New Roman" w:hAnsi="Times New Roman"/>
                <w:b/>
              </w:rPr>
              <w:t>oló oklevél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</w:tr>
      <w:tr w:rsidR="00000000">
        <w:trPr>
          <w:trHeight w:val="22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1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másolata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46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Doktori  képzésben  részt  vevők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47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47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</w:tr>
      <w:tr w:rsidR="00000000">
        <w:trPr>
          <w:trHeight w:val="22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1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jogviszony igazolása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62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Önéletrajz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62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</w:tr>
      <w:tr w:rsidR="00000000">
        <w:trPr>
          <w:trHeight w:val="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Személy azonosító okmány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</w:tr>
      <w:tr w:rsidR="00000000">
        <w:trPr>
          <w:trHeight w:val="22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1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másolata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Magyar nemzetiségi igazolás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61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61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</w:tr>
      <w:tr w:rsidR="00000000">
        <w:trPr>
          <w:trHeight w:val="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40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Á</w:t>
            </w:r>
            <w:r>
              <w:rPr>
                <w:rFonts w:ascii="Times New Roman" w:eastAsia="Times New Roman" w:hAnsi="Times New Roman"/>
                <w:b/>
              </w:rPr>
              <w:t>llandó lakhelyet igazoló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40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</w:tr>
      <w:tr w:rsidR="00000000">
        <w:trPr>
          <w:trHeight w:val="22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1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dokumentum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62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Publikációk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62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X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62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</w:tr>
      <w:tr w:rsidR="00000000">
        <w:trPr>
          <w:trHeight w:val="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55"/>
        </w:trPr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8733A0">
            <w:pPr>
              <w:spacing w:line="22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Mellékleteket összesítő tábla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2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10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255" w:lineRule="exact"/>
              <w:ind w:left="80"/>
              <w:rPr>
                <w:rFonts w:ascii="Segoe UI Symbol" w:eastAsia="Segoe UI Symbol" w:hAnsi="Segoe UI Symbol"/>
              </w:rPr>
            </w:pPr>
            <w:r>
              <w:rPr>
                <w:rFonts w:ascii="Segoe UI Symbol" w:eastAsia="Segoe UI Symbol" w:hAnsi="Segoe UI Symbol"/>
              </w:rPr>
              <w:t>✔</w:t>
            </w:r>
          </w:p>
        </w:tc>
      </w:tr>
      <w:tr w:rsidR="00000000">
        <w:trPr>
          <w:trHeight w:val="2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733A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000000" w:rsidRDefault="008733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"/>
        </w:rPr>
        <w:pict>
          <v:rect id="_x0000_s1028" style="position:absolute;margin-left:154.2pt;margin-top:-215.5pt;width:.95pt;height:1pt;z-index:-251658240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"/>
        </w:rPr>
        <w:pict>
          <v:rect id="_x0000_s1029" style="position:absolute;margin-left:252.95pt;margin-top:-215.5pt;width:1pt;height:1pt;z-index:-251657216;mso-position-horizontal-relative:text;mso-position-vertical-relative:text" o:userdrawn="t" fillcolor="black" strokecolor="none"/>
        </w:pict>
      </w:r>
    </w:p>
    <w:p w:rsidR="00000000" w:rsidRDefault="008733A0">
      <w:pPr>
        <w:spacing w:line="212" w:lineRule="exac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Jelmagyarázat: </w:t>
      </w:r>
      <w:r>
        <w:rPr>
          <w:rFonts w:ascii="MS UI Gothic" w:eastAsia="MS UI Gothic" w:hAnsi="MS UI Gothic"/>
        </w:rPr>
        <w:t>✔</w:t>
      </w:r>
      <w:r>
        <w:rPr>
          <w:rFonts w:ascii="Times New Roman" w:eastAsia="Times New Roman" w:hAnsi="Times New Roman"/>
          <w:b/>
        </w:rPr>
        <w:t xml:space="preserve">- </w:t>
      </w:r>
      <w:r>
        <w:rPr>
          <w:rFonts w:ascii="Times New Roman" w:eastAsia="Times New Roman" w:hAnsi="Times New Roman"/>
          <w:b/>
        </w:rPr>
        <w:t xml:space="preserve">kötelezően csatolandó; X </w:t>
      </w:r>
      <w:r>
        <w:rPr>
          <w:rFonts w:ascii="Times New Roman" w:eastAsia="Times New Roman" w:hAnsi="Times New Roman"/>
          <w:b/>
        </w:rPr>
        <w:t>–</w:t>
      </w:r>
      <w:r>
        <w:rPr>
          <w:rFonts w:ascii="Times New Roman" w:eastAsia="Times New Roman" w:hAnsi="Times New Roman"/>
          <w:b/>
        </w:rPr>
        <w:t xml:space="preserve"> nem kell csatolni.</w:t>
      </w:r>
    </w:p>
    <w:p w:rsidR="00000000" w:rsidRDefault="008733A0">
      <w:pPr>
        <w:spacing w:line="212" w:lineRule="exact"/>
        <w:ind w:left="220"/>
        <w:rPr>
          <w:rFonts w:ascii="Times New Roman" w:eastAsia="Times New Roman" w:hAnsi="Times New Roman"/>
          <w:b/>
        </w:rPr>
        <w:sectPr w:rsidR="00000000">
          <w:pgSz w:w="11900" w:h="16838"/>
          <w:pgMar w:top="702" w:right="1126" w:bottom="174" w:left="920" w:header="0" w:footer="0" w:gutter="0"/>
          <w:cols w:space="0" w:equalWidth="0">
            <w:col w:w="9860"/>
          </w:cols>
          <w:docGrid w:linePitch="360"/>
        </w:sectPr>
      </w:pPr>
    </w:p>
    <w:p w:rsidR="00000000" w:rsidRDefault="008733A0">
      <w:pPr>
        <w:spacing w:line="200" w:lineRule="exact"/>
        <w:rPr>
          <w:rFonts w:ascii="Times New Roman" w:eastAsia="Times New Roman" w:hAnsi="Times New Roman"/>
        </w:rPr>
      </w:pPr>
    </w:p>
    <w:p w:rsidR="00000000" w:rsidRDefault="008733A0">
      <w:pPr>
        <w:spacing w:line="292" w:lineRule="exact"/>
        <w:rPr>
          <w:rFonts w:ascii="Times New Roman" w:eastAsia="Times New Roman" w:hAnsi="Times New Roman"/>
        </w:rPr>
      </w:pPr>
    </w:p>
    <w:p w:rsidR="008733A0" w:rsidRDefault="008733A0">
      <w:pPr>
        <w:spacing w:line="0" w:lineRule="atLeast"/>
        <w:ind w:right="-19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</w:p>
    <w:sectPr w:rsidR="008733A0">
      <w:type w:val="continuous"/>
      <w:pgSz w:w="11900" w:h="16838"/>
      <w:pgMar w:top="702" w:right="1126" w:bottom="174" w:left="9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352255A"/>
    <w:lvl w:ilvl="0">
      <w:start w:val="1"/>
      <w:numFmt w:val="bullet"/>
      <w:lvlText w:val="*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09CF92E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DED7262"/>
    <w:lvl w:ilvl="0">
      <w:start w:val="1"/>
      <w:numFmt w:val="lowerLetter"/>
      <w:lvlText w:val="%1"/>
      <w:lvlJc w:val="left"/>
    </w:lvl>
    <w:lvl w:ilvl="1">
      <w:start w:val="1"/>
      <w:numFmt w:val="bullet"/>
      <w:lvlText w:val="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-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FDCC232"/>
    <w:lvl w:ilvl="0">
      <w:start w:val="2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BEFD79E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1A7C4C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B68079A"/>
    <w:lvl w:ilvl="0">
      <w:start w:val="2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E6AFB6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5E45D3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9B500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1BD7B6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F2DBA30"/>
    <w:lvl w:ilvl="0">
      <w:start w:val="1"/>
      <w:numFmt w:val="bullet"/>
      <w:lvlText w:val="-"/>
      <w:lvlJc w:val="left"/>
    </w:lvl>
    <w:lvl w:ilvl="1">
      <w:start w:val="1"/>
      <w:numFmt w:val="bullet"/>
      <w:lvlText w:val="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C83E458"/>
    <w:lvl w:ilvl="0">
      <w:start w:val="1"/>
      <w:numFmt w:val="bullet"/>
      <w:lvlText w:val="-"/>
      <w:lvlJc w:val="left"/>
    </w:lvl>
    <w:lvl w:ilvl="1">
      <w:start w:val="1"/>
      <w:numFmt w:val="bullet"/>
      <w:lvlText w:val="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4C2756"/>
    <w:rsid w:val="004C2756"/>
    <w:rsid w:val="0087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ius-ja.uz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h.org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akc.sk/" TargetMode="External"/><Relationship Id="rId5" Type="http://schemas.openxmlformats.org/officeDocument/2006/relationships/hyperlink" Target="http://www.kmei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3591</Words>
  <Characters>24783</Characters>
  <Application>Microsoft Office Word</Application>
  <DocSecurity>0</DocSecurity>
  <Lines>206</Lines>
  <Paragraphs>56</Paragraphs>
  <ScaleCrop>false</ScaleCrop>
  <Company/>
  <LinksUpToDate>false</LinksUpToDate>
  <CharactersWithSpaces>28318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Greba Szabolcs</dc:creator>
  <cp:lastModifiedBy>Greba Szabolcs</cp:lastModifiedBy>
  <cp:revision>2</cp:revision>
  <dcterms:created xsi:type="dcterms:W3CDTF">2018-12-20T12:23:00Z</dcterms:created>
  <dcterms:modified xsi:type="dcterms:W3CDTF">2018-12-20T12:23:00Z</dcterms:modified>
</cp:coreProperties>
</file>